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DE9" w:rsidRDefault="005973B3">
      <w:pPr>
        <w:widowControl/>
        <w:spacing w:after="283"/>
      </w:pPr>
      <w:bookmarkStart w:id="0" w:name="__DdeLink__307_1374815939"/>
      <w:r>
        <w:rPr>
          <w:rStyle w:val="Strong"/>
          <w:rFonts w:ascii="Helvetica" w:hAnsi="Helvetica"/>
          <w:b w:val="0"/>
          <w:color w:val="000000"/>
          <w:sz w:val="20"/>
          <w:szCs w:val="20"/>
        </w:rPr>
        <w:t xml:space="preserve">A la commune d’Ecublens, service de l’urbanisme, </w:t>
      </w:r>
    </w:p>
    <w:p w:rsidR="00474DE9" w:rsidRDefault="005973B3">
      <w:pPr>
        <w:widowControl/>
        <w:spacing w:after="283"/>
      </w:pPr>
      <w:r>
        <w:rPr>
          <w:rStyle w:val="Strong"/>
          <w:rFonts w:ascii="Helvetica" w:hAnsi="Helvetica"/>
          <w:color w:val="000000"/>
          <w:sz w:val="20"/>
          <w:szCs w:val="20"/>
        </w:rPr>
        <w:t xml:space="preserve">Objet : D.3101 - Plan d’affectation communal PACom - Opposition à l’exclusion des terres de Bassenges du PACom, subsidiairement son affectation future projetée. </w:t>
      </w:r>
    </w:p>
    <w:p w:rsidR="00D45B12" w:rsidRDefault="005973B3">
      <w:pPr>
        <w:widowControl/>
        <w:spacing w:after="283"/>
        <w:rPr>
          <w:rStyle w:val="Strong"/>
          <w:rFonts w:ascii="Helvetica" w:hAnsi="Helvetica"/>
          <w:b w:val="0"/>
          <w:color w:val="000000"/>
          <w:sz w:val="20"/>
          <w:szCs w:val="20"/>
        </w:rPr>
      </w:pPr>
      <w:r>
        <w:rPr>
          <w:rStyle w:val="Strong"/>
          <w:rFonts w:ascii="Helvetica" w:hAnsi="Helvetica"/>
          <w:b w:val="0"/>
          <w:color w:val="000000"/>
          <w:sz w:val="20"/>
          <w:szCs w:val="20"/>
        </w:rPr>
        <w:t>Nom &amp; Prénom : __________________________________________________________</w:t>
      </w:r>
      <w:r w:rsidR="00D45B12">
        <w:rPr>
          <w:rStyle w:val="Strong"/>
          <w:rFonts w:ascii="Helvetica" w:hAnsi="Helvetica"/>
          <w:b w:val="0"/>
          <w:color w:val="000000"/>
          <w:sz w:val="20"/>
          <w:szCs w:val="20"/>
        </w:rPr>
        <w:t>____________________________</w:t>
      </w:r>
    </w:p>
    <w:p w:rsidR="00D45B12" w:rsidRDefault="005973B3">
      <w:pPr>
        <w:widowControl/>
        <w:spacing w:after="283"/>
        <w:rPr>
          <w:rStyle w:val="Strong"/>
          <w:rFonts w:ascii="Helvetica" w:hAnsi="Helvetica"/>
          <w:b w:val="0"/>
          <w:color w:val="000000"/>
          <w:sz w:val="20"/>
          <w:szCs w:val="20"/>
        </w:rPr>
      </w:pPr>
      <w:r>
        <w:rPr>
          <w:rStyle w:val="Strong"/>
          <w:rFonts w:ascii="Helvetica" w:hAnsi="Helvetica"/>
          <w:b w:val="0"/>
          <w:color w:val="000000"/>
          <w:sz w:val="20"/>
          <w:szCs w:val="20"/>
        </w:rPr>
        <w:t>Adresse : __________________________________________________________</w:t>
      </w:r>
      <w:r w:rsidR="00D45B12">
        <w:rPr>
          <w:rStyle w:val="Strong"/>
          <w:rFonts w:ascii="Helvetica" w:hAnsi="Helvetica"/>
          <w:b w:val="0"/>
          <w:color w:val="000000"/>
          <w:sz w:val="20"/>
          <w:szCs w:val="20"/>
        </w:rPr>
        <w:t>____________________________</w:t>
      </w:r>
    </w:p>
    <w:p w:rsidR="00474DE9" w:rsidRDefault="005973B3">
      <w:pPr>
        <w:widowControl/>
        <w:spacing w:after="283"/>
      </w:pPr>
      <w:r>
        <w:rPr>
          <w:rStyle w:val="Strong"/>
          <w:rFonts w:ascii="Helvetica" w:hAnsi="Helvetica"/>
          <w:b w:val="0"/>
          <w:color w:val="000000"/>
          <w:sz w:val="20"/>
          <w:szCs w:val="20"/>
        </w:rPr>
        <w:t>Dans le cadre de l’enquête publique sur la révision générale du Plan d’affectation communal (PACom) de la Commune d'Ecublens.</w:t>
      </w:r>
    </w:p>
    <w:p w:rsidR="00474DE9" w:rsidRDefault="005973B3">
      <w:bookmarkStart w:id="1" w:name="__DdeLink__284_3207982989"/>
      <w:bookmarkEnd w:id="1"/>
      <w:r>
        <w:rPr>
          <w:rFonts w:ascii="Helvetica" w:hAnsi="Helvetica"/>
          <w:color w:val="000000"/>
          <w:sz w:val="20"/>
          <w:szCs w:val="20"/>
        </w:rPr>
        <w:t>Affecté directement par la décision </w:t>
      </w:r>
      <w:r w:rsidR="00D45B12">
        <w:rPr>
          <w:rFonts w:ascii="Helvetica" w:hAnsi="Helvetica"/>
          <w:color w:val="000000"/>
          <w:sz w:val="20"/>
          <w:szCs w:val="20"/>
        </w:rPr>
        <w:t xml:space="preserve">(raison) </w:t>
      </w:r>
      <w:bookmarkStart w:id="2" w:name="_GoBack"/>
      <w:bookmarkEnd w:id="2"/>
      <w:r>
        <w:rPr>
          <w:rFonts w:ascii="Helvetica" w:hAnsi="Helvetica"/>
          <w:color w:val="000000"/>
          <w:sz w:val="20"/>
          <w:szCs w:val="20"/>
        </w:rPr>
        <w:t xml:space="preserve">: </w:t>
      </w:r>
      <w:r>
        <w:rPr>
          <w:rFonts w:ascii="Helvetica" w:hAnsi="Helvetica"/>
          <w:color w:val="000000"/>
          <w:sz w:val="20"/>
          <w:szCs w:val="20"/>
        </w:rPr>
        <w:br/>
        <w:t>_______________________________</w:t>
      </w:r>
      <w:r>
        <w:rPr>
          <w:rStyle w:val="Strong"/>
          <w:rFonts w:ascii="Helvetica" w:hAnsi="Helvetica"/>
          <w:b w:val="0"/>
          <w:color w:val="000000"/>
          <w:sz w:val="20"/>
          <w:szCs w:val="20"/>
        </w:rPr>
        <w:t>_________________________________________________________________________________________________________________________________________________________________________________________</w:t>
      </w:r>
      <w:bookmarkEnd w:id="0"/>
      <w:r w:rsidR="00D45B12">
        <w:rPr>
          <w:rFonts w:ascii="Helvetica" w:hAnsi="Helvetica"/>
          <w:color w:val="000000"/>
          <w:sz w:val="20"/>
          <w:szCs w:val="20"/>
        </w:rPr>
        <w:t>_______________________________</w:t>
      </w:r>
      <w:r w:rsidR="00D45B12">
        <w:rPr>
          <w:rStyle w:val="Strong"/>
          <w:rFonts w:ascii="Helvetica" w:hAnsi="Helvetica"/>
          <w:b w:val="0"/>
          <w:color w:val="000000"/>
          <w:sz w:val="20"/>
          <w:szCs w:val="20"/>
        </w:rPr>
        <w:t>_________________________________________________________________________________________________________________________________________________________</w:t>
      </w:r>
      <w:r w:rsidR="00D45B12">
        <w:rPr>
          <w:rStyle w:val="Strong"/>
          <w:rFonts w:ascii="Helvetica" w:hAnsi="Helvetica"/>
          <w:b w:val="0"/>
          <w:color w:val="000000"/>
          <w:sz w:val="20"/>
          <w:szCs w:val="20"/>
        </w:rPr>
        <w:t>______________________________</w:t>
      </w:r>
    </w:p>
    <w:p w:rsidR="00474DE9" w:rsidRDefault="00474DE9">
      <w:pPr>
        <w:rPr>
          <w:rFonts w:ascii="Helvetica" w:hAnsi="Helvetica"/>
          <w:color w:val="000000"/>
          <w:sz w:val="20"/>
          <w:szCs w:val="20"/>
        </w:rPr>
      </w:pPr>
    </w:p>
    <w:p w:rsidR="00474DE9" w:rsidRDefault="005973B3">
      <w:pPr>
        <w:widowControl/>
        <w:numPr>
          <w:ilvl w:val="0"/>
          <w:numId w:val="2"/>
        </w:numPr>
        <w:spacing w:after="169"/>
        <w:ind w:left="0" w:firstLine="0"/>
        <w:jc w:val="both"/>
      </w:pPr>
      <w:r>
        <w:rPr>
          <w:rStyle w:val="Strong"/>
          <w:rFonts w:ascii="Helvetica" w:hAnsi="Helvetica"/>
          <w:b w:val="0"/>
          <w:color w:val="000000"/>
          <w:sz w:val="22"/>
          <w:szCs w:val="22"/>
        </w:rPr>
        <w:t>SUR LA QUALITÉ POUR AGIR DE L’OPPOSANT (art. 75 LPA-VD)</w:t>
      </w:r>
    </w:p>
    <w:p w:rsidR="00474DE9" w:rsidRDefault="005973B3">
      <w:pPr>
        <w:widowControl/>
        <w:spacing w:after="283"/>
        <w:jc w:val="both"/>
      </w:pPr>
      <w:r>
        <w:rPr>
          <w:rFonts w:ascii="Helvetica" w:hAnsi="Helvetica"/>
          <w:color w:val="000000"/>
          <w:sz w:val="20"/>
          <w:szCs w:val="20"/>
        </w:rPr>
        <w:t>En vertu de l’article 75 de la Loi vaudoise sur la procédure administrative (LPA-VD), a la qualité pour former opposition toute personne physique ou morale qui est touchée de manière directe par la décision attaquée et qui dispose d’un intérêt digne de protection à son annulation ou à sa modification. L’enquête publique du PACom est le tout premier moment légal où le citoyen peut contester la retranscription d’un plan directeur (le PDi-OL) dans un plan d’affectation.</w:t>
      </w:r>
    </w:p>
    <w:p w:rsidR="00474DE9" w:rsidRDefault="005973B3">
      <w:pPr>
        <w:widowControl/>
        <w:numPr>
          <w:ilvl w:val="0"/>
          <w:numId w:val="2"/>
        </w:numPr>
        <w:spacing w:after="169"/>
        <w:ind w:left="0" w:firstLine="0"/>
        <w:jc w:val="both"/>
      </w:pPr>
      <w:r>
        <w:rPr>
          <w:rStyle w:val="Strong"/>
          <w:rFonts w:ascii="Helvetica" w:hAnsi="Helvetica"/>
          <w:b w:val="0"/>
          <w:color w:val="000000"/>
          <w:sz w:val="22"/>
          <w:szCs w:val="22"/>
        </w:rPr>
        <w:t>RAPPEL DES FAITS</w:t>
      </w:r>
    </w:p>
    <w:p w:rsidR="00474DE9" w:rsidRDefault="005973B3">
      <w:pPr>
        <w:widowControl/>
        <w:spacing w:after="283"/>
        <w:jc w:val="both"/>
        <w:rPr>
          <w:rFonts w:ascii="Helvetica" w:hAnsi="Helvetica"/>
          <w:color w:val="000000"/>
          <w:sz w:val="20"/>
          <w:szCs w:val="20"/>
        </w:rPr>
      </w:pPr>
      <w:r>
        <w:rPr>
          <w:rFonts w:ascii="Helvetica" w:hAnsi="Helvetica"/>
          <w:color w:val="000000"/>
          <w:sz w:val="20"/>
          <w:szCs w:val="20"/>
        </w:rPr>
        <w:t>La parcelle n° 944 est exploitée comme domaine agricole comprenant des terres cultivables ainsi que plusieurs bâtiments d'exploitation. La Confédération (EPFL) a récemment manifesté son intérêt à développer ce secteur et a lancé un concours d’architecture en vue d'implanter de futurs locaux académiques et des bureaux sur cette même parcelle. Dans le cadre de la révision de son PACom, la Commune a choisi d’exclure la parcelle n° 944 de la planification générale. Dans le rapport justificatif (Rapport 47 LATC), les autorités précisent que cette exclusion est motivée par la "vocation de polarité d’équipements collectifs" prévue par le Plan directeur intercommunal de l'Ouest lausannois (PDi-OL), et renvoient le traitement de ce secteur à la future révision du Plan d’affectation cantonal "Hautes Écoles" (PAC 229). Or, cette mise à l'écart volontaire du PACom repose sur des prémisses erronées et omet des contraintes légales impératives.</w:t>
      </w:r>
    </w:p>
    <w:p w:rsidR="00474DE9" w:rsidRDefault="005973B3">
      <w:pPr>
        <w:widowControl/>
        <w:numPr>
          <w:ilvl w:val="0"/>
          <w:numId w:val="2"/>
        </w:numPr>
        <w:spacing w:after="169"/>
        <w:ind w:left="0" w:firstLine="0"/>
        <w:jc w:val="both"/>
      </w:pPr>
      <w:r>
        <w:rPr>
          <w:rStyle w:val="Strong"/>
          <w:rFonts w:ascii="Helvetica" w:hAnsi="Helvetica"/>
          <w:b w:val="0"/>
          <w:color w:val="000000"/>
          <w:sz w:val="22"/>
          <w:szCs w:val="22"/>
        </w:rPr>
        <w:t>GRIEFS SUR LE FOND</w:t>
      </w:r>
    </w:p>
    <w:p w:rsidR="00474DE9" w:rsidRDefault="005973B3">
      <w:pPr>
        <w:jc w:val="both"/>
      </w:pPr>
      <w:r>
        <w:rPr>
          <w:rStyle w:val="Strong"/>
          <w:rFonts w:ascii="Helvetica" w:hAnsi="Helvetica"/>
          <w:b w:val="0"/>
          <w:color w:val="000000"/>
          <w:sz w:val="20"/>
          <w:szCs w:val="20"/>
        </w:rPr>
        <w:t xml:space="preserve">L’exclusion de la parcelle 944 du PACom est basée sur les prémisses d’un potentiel futur projet d’aménagement des bâtiments agricoles inclus dans le périmètre de Polarité d’équipements collectifs des Hautes Ecoles, conformément au PDi-OL. </w:t>
      </w:r>
      <w:bookmarkStart w:id="3" w:name="__DdeLink__307_3242433760"/>
      <w:r>
        <w:rPr>
          <w:rStyle w:val="Strong"/>
          <w:rFonts w:ascii="Helvetica" w:hAnsi="Helvetica"/>
          <w:b w:val="0"/>
          <w:color w:val="000000"/>
          <w:sz w:val="20"/>
          <w:szCs w:val="20"/>
        </w:rPr>
        <w:t>L’opposant conteste cette interprétation du PDi-OL, soutenant qu’une affectation directe dans le PACom de la parcelle 944 en zone agricole répond de manière claire et idéale aux différents objectifs du PDi-OL qui ne sauraient être pris en compte si la parcelle est laissée à la seule appréciation du canton et du son PAC 229. Une intégration directe de la parcelle dans le PACom permet de défendre les intérêts des citoyens de la commune qui profite directement des activités agricoles diversifiées déjà mises en place sur la parcelle</w:t>
      </w:r>
      <w:bookmarkEnd w:id="3"/>
      <w:r>
        <w:rPr>
          <w:rStyle w:val="Strong"/>
          <w:rFonts w:ascii="Helvetica" w:hAnsi="Helvetica"/>
          <w:b w:val="0"/>
          <w:color w:val="000000"/>
          <w:sz w:val="20"/>
          <w:szCs w:val="20"/>
        </w:rPr>
        <w:t>.</w:t>
      </w:r>
    </w:p>
    <w:p w:rsidR="00474DE9" w:rsidRDefault="00474DE9">
      <w:pPr>
        <w:jc w:val="both"/>
        <w:rPr>
          <w:rStyle w:val="Strong"/>
          <w:rFonts w:ascii="Helvetica" w:hAnsi="Helvetica"/>
          <w:b w:val="0"/>
          <w:color w:val="000000"/>
          <w:sz w:val="20"/>
          <w:szCs w:val="20"/>
        </w:rPr>
      </w:pPr>
    </w:p>
    <w:p w:rsidR="00474DE9" w:rsidRDefault="005973B3">
      <w:pPr>
        <w:jc w:val="both"/>
      </w:pPr>
      <w:r>
        <w:rPr>
          <w:rStyle w:val="Strong"/>
          <w:rFonts w:ascii="Helvetica" w:hAnsi="Helvetica"/>
          <w:b w:val="0"/>
          <w:color w:val="000000"/>
          <w:sz w:val="20"/>
          <w:szCs w:val="20"/>
        </w:rPr>
        <w:t xml:space="preserve">Ci-après sont cités les éléments démontrant l’adéquation d’une affectation agricole directe de la parcelle 944 dans la PACom, conformément au PDi-OL. </w:t>
      </w:r>
    </w:p>
    <w:p w:rsidR="00474DE9" w:rsidRDefault="005973B3">
      <w:pPr>
        <w:jc w:val="both"/>
      </w:pPr>
      <w:r>
        <w:rPr>
          <w:rStyle w:val="Strong"/>
          <w:rFonts w:ascii="Helvetica" w:hAnsi="Helvetica"/>
          <w:b w:val="0"/>
          <w:color w:val="000000"/>
          <w:sz w:val="20"/>
          <w:szCs w:val="20"/>
        </w:rPr>
        <w:t xml:space="preserve"> </w:t>
      </w:r>
    </w:p>
    <w:p w:rsidR="00474DE9" w:rsidRDefault="005973B3">
      <w:pPr>
        <w:jc w:val="both"/>
      </w:pPr>
      <w:r>
        <w:rPr>
          <w:rStyle w:val="Strong"/>
          <w:rFonts w:ascii="Helvetica" w:hAnsi="Helvetica"/>
          <w:b w:val="0"/>
          <w:color w:val="000000"/>
          <w:sz w:val="20"/>
          <w:szCs w:val="20"/>
        </w:rPr>
        <w:t xml:space="preserve">La Ferme de Bassenges abrite une riche biodiversité. Ses bâtiments servent notamment de nichoirs à plusieurs espèces recensées qui figurent sur la liste rouge des oiseaux nicheurs (hirondelles rustiques, chouette effraie, chauve-souris pipistrelles et noctules). Depuis sa reprise par Collectif Cambium Sàrl, la biodiversité augmente grâce à la présence de bétail, aux aménagements de haies et de prairies sèches, et surtout au modèle d’agriculture écologique pratiqué – agriculture biologique, traction animale, polyculture-élevage. Ce modèle, appelé de ses vœux par l’École Polytechnique Fédérale de Lausanne, elle-même, </w:t>
      </w:r>
      <w:r>
        <w:rPr>
          <w:rStyle w:val="Strong"/>
          <w:rFonts w:ascii="Helvetica" w:hAnsi="Helvetica"/>
          <w:b w:val="0"/>
          <w:color w:val="000000"/>
          <w:sz w:val="20"/>
          <w:szCs w:val="20"/>
        </w:rPr>
        <w:lastRenderedPageBreak/>
        <w:t xml:space="preserve">dans son appel à projet en 2019, régénère les sols et met en valeur des espèces rares (ProSpecieRara). L’utilisation agricole actuelle répond ainsi parfaitement aux objectifs énoncés aux pages 132 et 133 du chapitre « Orientation stratégique 4 » du Plan directeur intercommunal de l'Ouest lausannois (PDi-OL) : "Préserver l’activité agricole des campagnes", "Encourager les échanges et les synergies entre ville et campagne", "Assurer la qualité paysagère et écologique de ces espaces", "Assurer la bonne cohabitation des différents usages", "Renforcer leur valeur sociale ainsi que la diversité des usages qui y prennent place". La non-reconnaissance des terrains comme zone agricole 16 LAT dans le PACom et son intégration dans le plan PAC 229, obsolète et en passe d’être modifié pour densifier le campus de l’EPFL, met en danger ces résultats significatifs, obtenus grâce à un projet de durabilité qui s’inscrit par définition dans la durée. </w:t>
      </w:r>
    </w:p>
    <w:p w:rsidR="00474DE9" w:rsidRDefault="00474DE9">
      <w:pPr>
        <w:jc w:val="both"/>
        <w:rPr>
          <w:rStyle w:val="Strong"/>
          <w:rFonts w:ascii="Helvetica" w:hAnsi="Helvetica"/>
          <w:b w:val="0"/>
          <w:color w:val="000000"/>
          <w:sz w:val="20"/>
          <w:szCs w:val="20"/>
        </w:rPr>
      </w:pPr>
    </w:p>
    <w:p w:rsidR="00474DE9" w:rsidRDefault="005973B3">
      <w:pPr>
        <w:jc w:val="both"/>
      </w:pPr>
      <w:r>
        <w:rPr>
          <w:rStyle w:val="Strong"/>
          <w:rFonts w:ascii="Helvetica" w:hAnsi="Helvetica"/>
          <w:b w:val="0"/>
          <w:color w:val="000000"/>
          <w:sz w:val="20"/>
          <w:szCs w:val="20"/>
        </w:rPr>
        <w:t>Situé à la frontière de la campagne de l’Ouest lausannois, intégrée avec succès au sein du campus EPFL-UNIL et accessible directement avec le métro M1, la Ferme de Bassenges assure une fonction de ferme écologique modèle et ouverte à la population urbaine et rurale. La Ferme accueille en effet un millier de visiteurs par année pour des visites scolaires hebdomadaires, des travaux de recherche universitaires, un festival annuel paysan, des travaux collectifs ou encore des fêtes ouvertes à tous et toutes. Ce rôle social et éducatif est précieux pour la commune d’Ecublens et ses habitants. Il ne peut être assumé par une autre ferme de la commune à court et moyen terme. De plus, la Ferme de Bassenges propose de la nourriture saine, biologique et abordable à des centaines de familles et d’étudiants chaque semaine. Elle vend plus d’une centaine de paniers de légumes hebdomadaires, ainsi que des œufs, du fromage ou encore du pain en libre-service. Dans une commune qui s’urbanise et se densifie, cet espace ouvert à la population constitue un important lieu de bien-être. Le modèle d’agriculture écologique développé depuis six ans offre des espaces verts avec une haute valeur écologique en bordure de ville. Elle répond ainsi de manière idéale aux objectifs du Plan directeur intercommunal de l'Ouest lausannois (PDi-OL) qui préconise de créer des mixités d’usages et de favoriser les échanges et interactions avec la population et les territoires adjacents au sein du périmètre de Polarité d’équipements collectifs.</w:t>
      </w:r>
    </w:p>
    <w:p w:rsidR="00474DE9" w:rsidRDefault="00474DE9">
      <w:pPr>
        <w:jc w:val="both"/>
        <w:rPr>
          <w:rStyle w:val="Strong"/>
          <w:rFonts w:ascii="Helvetica" w:hAnsi="Helvetica"/>
          <w:b w:val="0"/>
          <w:color w:val="000000"/>
          <w:sz w:val="20"/>
          <w:szCs w:val="20"/>
        </w:rPr>
      </w:pPr>
    </w:p>
    <w:p w:rsidR="00474DE9" w:rsidRDefault="005973B3">
      <w:pPr>
        <w:jc w:val="both"/>
      </w:pPr>
      <w:r>
        <w:rPr>
          <w:rStyle w:val="Strong"/>
          <w:rFonts w:ascii="Helvetica" w:hAnsi="Helvetica"/>
          <w:b w:val="0"/>
          <w:color w:val="000000"/>
          <w:sz w:val="20"/>
          <w:szCs w:val="20"/>
        </w:rPr>
        <w:t xml:space="preserve">Selon le "Relevé des structures agricoles 2025" de l'Office fédéral de la statistique, plus de deux fermes ont disparu en moyenne chaque jour en Suisse en 2025. Sortir la Ferme de Bassenges du PACom revient à faciliter sa disparition et sa transformation par l’EPFL en centre de mathématiques. Alors que la souveraineté alimentaire devient capitale et que le Grand Conseil vaudois réfléchit à l’inscrire dans la Constitution cantonale, la commune d’Ecublens devrait préserver la ferme de Bassenges, qui nourrit Ecublens depuis 300 ans. </w:t>
      </w:r>
    </w:p>
    <w:p w:rsidR="00474DE9" w:rsidRDefault="00474DE9">
      <w:pPr>
        <w:rPr>
          <w:rStyle w:val="Strong"/>
          <w:rFonts w:ascii="Helvetica" w:hAnsi="Helvetica"/>
          <w:b w:val="0"/>
          <w:color w:val="000000"/>
          <w:sz w:val="20"/>
          <w:szCs w:val="20"/>
        </w:rPr>
      </w:pPr>
    </w:p>
    <w:p w:rsidR="00474DE9" w:rsidRDefault="005973B3">
      <w:pPr>
        <w:widowControl/>
        <w:spacing w:after="283"/>
        <w:jc w:val="both"/>
      </w:pPr>
      <w:r>
        <w:rPr>
          <w:rFonts w:ascii="Helvetica" w:hAnsi="Helvetica"/>
          <w:color w:val="000000"/>
          <w:sz w:val="20"/>
          <w:szCs w:val="20"/>
        </w:rPr>
        <w:t>La justification de transfert de la parcelle au plan PAC229 formulée par les autorités de la Commune repose entièrement sur</w:t>
      </w:r>
      <w:bookmarkStart w:id="4" w:name="__DdeLink__270_3207982989"/>
      <w:r>
        <w:rPr>
          <w:rFonts w:ascii="Helvetica" w:hAnsi="Helvetica"/>
          <w:color w:val="000000"/>
          <w:sz w:val="20"/>
          <w:szCs w:val="20"/>
        </w:rPr>
        <w:t xml:space="preserve"> la réalisation à terme du projet d’équipements collectifs de l’EPFL.</w:t>
      </w:r>
      <w:bookmarkEnd w:id="4"/>
      <w:r>
        <w:rPr>
          <w:rFonts w:ascii="Helvetica" w:hAnsi="Helvetica"/>
          <w:color w:val="000000"/>
          <w:sz w:val="20"/>
          <w:szCs w:val="20"/>
        </w:rPr>
        <w:t xml:space="preserve"> Or, les autorités omettent une contrainte patrimoniale majeure : </w:t>
      </w:r>
      <w:r>
        <w:rPr>
          <w:rStyle w:val="Strong"/>
          <w:rFonts w:ascii="Helvetica" w:hAnsi="Helvetica"/>
          <w:b w:val="0"/>
          <w:color w:val="000000"/>
          <w:sz w:val="20"/>
          <w:szCs w:val="20"/>
        </w:rPr>
        <w:t xml:space="preserve">les bâtiments agricoles présents sur la parcelle n° 944 sont quasiment tous recensés en Note 2 au Recensement architectural vaudois et sont formellement inscrits à l’inventaire cantonal. </w:t>
      </w:r>
      <w:r>
        <w:rPr>
          <w:rFonts w:ascii="Helvetica" w:hAnsi="Helvetica"/>
          <w:color w:val="000000"/>
          <w:sz w:val="20"/>
          <w:szCs w:val="20"/>
        </w:rPr>
        <w:t>En vertu de la Loi sur la protection du patrimoine culturel immobilier (</w:t>
      </w:r>
      <w:r>
        <w:rPr>
          <w:rStyle w:val="Strong"/>
          <w:rFonts w:ascii="Helvetica" w:hAnsi="Helvetica"/>
          <w:b w:val="0"/>
          <w:color w:val="000000"/>
          <w:sz w:val="20"/>
          <w:szCs w:val="20"/>
        </w:rPr>
        <w:t>LPrPCI</w:t>
      </w:r>
      <w:r>
        <w:rPr>
          <w:rFonts w:ascii="Helvetica" w:hAnsi="Helvetica"/>
          <w:color w:val="000000"/>
          <w:sz w:val="20"/>
          <w:szCs w:val="20"/>
        </w:rPr>
        <w:t xml:space="preserve">), la Note 2 consacre un monument d'importance cantonale et impose une obligation stricte de conservation de la substance historique et de la typologie des bâtiments. Le projet de l’EPFL – qui implique l'implantation de bureaux, de laboratoires ou de locaux administratifs à l'intérieur de ces granges – est techniquement et réglementairement irréalisable. Les normes d'isolation thermique, phonique, de sécurité incendie et l'exigence de lumière naturelle (impliquant la création d'ouvertures en toiture, strictement interdite pour un objet Note 2) détruiraient la substance typologique du site. Le projet se heurte donc à un obstacle patrimonial de droit public insurmontable. </w:t>
      </w:r>
      <w:bookmarkStart w:id="5" w:name="__DdeLink__278_3207982989"/>
      <w:r>
        <w:rPr>
          <w:rFonts w:ascii="Helvetica" w:hAnsi="Helvetica"/>
          <w:color w:val="000000"/>
          <w:sz w:val="20"/>
          <w:szCs w:val="20"/>
        </w:rPr>
        <w:t xml:space="preserve">Selon la jurisprudence, planifier une zone ou en exclure une parcelle en vue d'un projet manifestement condamné à l'échec constitue un abus du pouvoir d'appréciation et un défaut grave dans la pesée des intérêts (art. 3 OAT). </w:t>
      </w:r>
      <w:bookmarkEnd w:id="5"/>
    </w:p>
    <w:p w:rsidR="00474DE9" w:rsidRDefault="005973B3">
      <w:pPr>
        <w:widowControl/>
        <w:numPr>
          <w:ilvl w:val="0"/>
          <w:numId w:val="2"/>
        </w:numPr>
        <w:spacing w:after="169"/>
        <w:ind w:left="0" w:firstLine="0"/>
        <w:jc w:val="both"/>
      </w:pPr>
      <w:r>
        <w:rPr>
          <w:rStyle w:val="Strong"/>
          <w:rFonts w:ascii="Helvetica" w:hAnsi="Helvetica"/>
          <w:b w:val="0"/>
          <w:color w:val="000000"/>
          <w:sz w:val="22"/>
          <w:szCs w:val="22"/>
        </w:rPr>
        <w:t>SUR L’OPPORTUNITÉ DU MOMENT DE PLANIFICATION (L’EXIGENCE D'UNE PLANIFICATION IMMÉDIATE)</w:t>
      </w:r>
    </w:p>
    <w:p w:rsidR="00474DE9" w:rsidRDefault="005973B3">
      <w:pPr>
        <w:widowControl/>
        <w:spacing w:after="283"/>
        <w:jc w:val="both"/>
        <w:rPr>
          <w:rFonts w:ascii="Helvetica" w:hAnsi="Helvetica"/>
          <w:color w:val="000000"/>
          <w:sz w:val="20"/>
          <w:szCs w:val="20"/>
        </w:rPr>
      </w:pPr>
      <w:r>
        <w:rPr>
          <w:rFonts w:ascii="Helvetica" w:hAnsi="Helvetica"/>
          <w:color w:val="000000"/>
          <w:sz w:val="20"/>
          <w:szCs w:val="20"/>
        </w:rPr>
        <w:t xml:space="preserve">La Commune ne saurait renvoyer l’Opposant à la procédure future du PAC 229 en soutenant que le présent PACom ne serait pas le "bon moment" pour sceller le sort de la parcelle n° 944. Un tel raisonnement viole le principe de coordination (art. 25a LAT). L’enquête publique du PACom est le tout premier moment légal où le citoyen peut contester la retranscription d’un plan directeur (le PDi-OL) dans un plan d’affectation. Si l’Opposant attend la mise à l’enquête du PAC, la Commune et le Canton prétendront que le principe du dézonage et de l'exclusion a déjà été "acté" et validé lors de l'adoption du PACom, rendant toute contestation tardive. De plus, le fait que l'EPFL ait d'ores et déjà lancé son concours prouve que la menace sur l’objet de l’opposition est actuelle. Créer un vide planificateur à l'échelle communale en attendant une procédure cantonale hypothétique et notoirement longue revient à imposer un gel des droits disproportionné à l'Opposant. C’est donc ici et maintenant, dans le cadre du PACom, qu’il convient de constater </w:t>
      </w:r>
      <w:r>
        <w:rPr>
          <w:rFonts w:ascii="Helvetica" w:hAnsi="Helvetica"/>
          <w:color w:val="000000"/>
          <w:sz w:val="20"/>
          <w:szCs w:val="20"/>
        </w:rPr>
        <w:lastRenderedPageBreak/>
        <w:t>l'irréalisabilité du projet d'équipements collectifs et de replacer la parcelle dans la zone qui lui est naturellement et légalement dévolue : la zone agricole.</w:t>
      </w:r>
    </w:p>
    <w:p w:rsidR="00474DE9" w:rsidRDefault="005973B3">
      <w:pPr>
        <w:widowControl/>
        <w:numPr>
          <w:ilvl w:val="0"/>
          <w:numId w:val="2"/>
        </w:numPr>
        <w:spacing w:after="169"/>
        <w:ind w:left="0" w:firstLine="0"/>
        <w:jc w:val="both"/>
      </w:pPr>
      <w:r>
        <w:rPr>
          <w:rStyle w:val="Strong"/>
          <w:rFonts w:ascii="Helvetica" w:hAnsi="Helvetica"/>
          <w:b w:val="0"/>
          <w:color w:val="000000"/>
          <w:sz w:val="22"/>
          <w:szCs w:val="22"/>
        </w:rPr>
        <w:t>CONCLUSIONS</w:t>
      </w:r>
    </w:p>
    <w:p w:rsidR="00474DE9" w:rsidRDefault="005973B3">
      <w:pPr>
        <w:widowControl/>
        <w:spacing w:after="283"/>
        <w:jc w:val="both"/>
      </w:pPr>
      <w:r>
        <w:rPr>
          <w:rStyle w:val="Strong"/>
          <w:rFonts w:ascii="Helvetica" w:hAnsi="Helvetica"/>
          <w:b w:val="0"/>
          <w:color w:val="000000"/>
          <w:sz w:val="20"/>
          <w:szCs w:val="20"/>
        </w:rPr>
        <w:t>Par ces motifs, l’Opposant conclut à ce qu'il plaise à la Municipalité d’Ecublens, subsidiairement au Conseil communal :</w:t>
      </w:r>
    </w:p>
    <w:p w:rsidR="00474DE9" w:rsidRDefault="005973B3">
      <w:pPr>
        <w:pStyle w:val="BodyText"/>
        <w:widowControl/>
        <w:numPr>
          <w:ilvl w:val="0"/>
          <w:numId w:val="4"/>
        </w:numPr>
        <w:tabs>
          <w:tab w:val="left" w:pos="934"/>
        </w:tabs>
        <w:spacing w:after="0"/>
        <w:ind w:left="934"/>
        <w:jc w:val="both"/>
      </w:pPr>
      <w:r>
        <w:rPr>
          <w:rStyle w:val="Strong"/>
          <w:rFonts w:ascii="Helvetica" w:hAnsi="Helvetica"/>
          <w:b w:val="0"/>
          <w:color w:val="000000"/>
          <w:sz w:val="20"/>
          <w:szCs w:val="20"/>
        </w:rPr>
        <w:t>Entrer en matière</w:t>
      </w:r>
      <w:r>
        <w:rPr>
          <w:rFonts w:ascii="Helvetica" w:hAnsi="Helvetica"/>
          <w:color w:val="000000"/>
          <w:sz w:val="20"/>
          <w:szCs w:val="20"/>
        </w:rPr>
        <w:t> sur la présente opposition et la déclarer recevable.</w:t>
      </w:r>
    </w:p>
    <w:p w:rsidR="00474DE9" w:rsidRDefault="005973B3">
      <w:pPr>
        <w:pStyle w:val="BodyText"/>
        <w:widowControl/>
        <w:numPr>
          <w:ilvl w:val="0"/>
          <w:numId w:val="4"/>
        </w:numPr>
        <w:tabs>
          <w:tab w:val="left" w:pos="934"/>
        </w:tabs>
        <w:spacing w:after="0"/>
        <w:ind w:left="934"/>
        <w:jc w:val="both"/>
      </w:pPr>
      <w:r>
        <w:rPr>
          <w:rStyle w:val="Strong"/>
          <w:rFonts w:ascii="Helvetica" w:hAnsi="Helvetica"/>
          <w:b w:val="0"/>
          <w:color w:val="000000"/>
          <w:sz w:val="20"/>
          <w:szCs w:val="20"/>
        </w:rPr>
        <w:t>Admettre l'opposition</w:t>
      </w:r>
      <w:r>
        <w:rPr>
          <w:rFonts w:ascii="Helvetica" w:hAnsi="Helvetica"/>
          <w:color w:val="000000"/>
          <w:sz w:val="20"/>
          <w:szCs w:val="20"/>
        </w:rPr>
        <w:t> sur le fond.</w:t>
      </w:r>
    </w:p>
    <w:p w:rsidR="00474DE9" w:rsidRDefault="005973B3">
      <w:pPr>
        <w:pStyle w:val="BodyText"/>
        <w:widowControl/>
        <w:numPr>
          <w:ilvl w:val="0"/>
          <w:numId w:val="4"/>
        </w:numPr>
        <w:tabs>
          <w:tab w:val="left" w:pos="934"/>
        </w:tabs>
        <w:ind w:left="934"/>
        <w:jc w:val="both"/>
      </w:pPr>
      <w:r>
        <w:rPr>
          <w:rStyle w:val="Strong"/>
          <w:rFonts w:ascii="Helvetica" w:hAnsi="Helvetica"/>
          <w:b w:val="0"/>
          <w:color w:val="000000"/>
          <w:sz w:val="20"/>
          <w:szCs w:val="20"/>
        </w:rPr>
        <w:t>Modifier le projet de PACom</w:t>
      </w:r>
      <w:r>
        <w:rPr>
          <w:rFonts w:ascii="Helvetica" w:hAnsi="Helvetica"/>
          <w:color w:val="000000"/>
          <w:sz w:val="20"/>
          <w:szCs w:val="20"/>
        </w:rPr>
        <w:t> mis à l'enquête en y intégrant formellement l'entier de la parcelle n° 944 dans le périmètre du plan, et en lui attribuant une affectation de </w:t>
      </w:r>
      <w:r>
        <w:rPr>
          <w:rStyle w:val="Strong"/>
          <w:rFonts w:ascii="Helvetica" w:hAnsi="Helvetica"/>
          <w:b w:val="0"/>
          <w:color w:val="000000"/>
          <w:sz w:val="20"/>
          <w:szCs w:val="20"/>
        </w:rPr>
        <w:t>Zone agricole</w:t>
      </w:r>
      <w:r>
        <w:rPr>
          <w:rFonts w:ascii="Helvetica" w:hAnsi="Helvetica"/>
          <w:color w:val="000000"/>
          <w:sz w:val="20"/>
          <w:szCs w:val="20"/>
        </w:rPr>
        <w:t>, conforme à son statut de SDA et à la protection Note 2 de ses bâtiments.</w:t>
      </w:r>
    </w:p>
    <w:p w:rsidR="00474DE9" w:rsidRDefault="005973B3">
      <w:pPr>
        <w:pStyle w:val="BodyText"/>
        <w:widowControl/>
        <w:jc w:val="both"/>
        <w:rPr>
          <w:rFonts w:ascii="Helvetica" w:hAnsi="Helvetica"/>
          <w:color w:val="000000"/>
          <w:sz w:val="20"/>
          <w:szCs w:val="20"/>
        </w:rPr>
      </w:pPr>
      <w:r>
        <w:rPr>
          <w:rFonts w:ascii="Helvetica" w:hAnsi="Helvetica"/>
          <w:color w:val="000000"/>
          <w:sz w:val="20"/>
          <w:szCs w:val="20"/>
        </w:rPr>
        <w:t>Date &amp; Signature :</w:t>
      </w:r>
    </w:p>
    <w:p w:rsidR="00474DE9" w:rsidRDefault="00474DE9">
      <w:pPr>
        <w:pStyle w:val="BodyText"/>
        <w:widowControl/>
        <w:ind w:left="225"/>
        <w:jc w:val="both"/>
        <w:rPr>
          <w:rFonts w:ascii="Helvetica" w:hAnsi="Helvetica"/>
          <w:color w:val="000000"/>
          <w:sz w:val="20"/>
          <w:szCs w:val="20"/>
        </w:rPr>
      </w:pPr>
    </w:p>
    <w:sectPr w:rsidR="00474DE9">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Calibri"/>
    <w:panose1 w:val="020F0502020204030204"/>
    <w:charset w:val="00"/>
    <w:family w:val="swiss"/>
    <w:pitch w:val="variable"/>
    <w:sig w:usb0="E10002FF" w:usb1="5000ECFF" w:usb2="00000009" w:usb3="00000000" w:csb0="0000019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20002A87" w:usb1="00000000" w:usb2="00000000" w:usb3="00000000" w:csb0="000001F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02FF" w:usb1="4000201F" w:usb2="08000029" w:usb3="00000000" w:csb0="0000019F" w:csb1="00000000"/>
  </w:font>
  <w:font w:name="Liberation Mono">
    <w:altName w:val="Courier New"/>
    <w:panose1 w:val="02070409020205020404"/>
    <w:charset w:val="00"/>
    <w:family w:val="modern"/>
    <w:pitch w:val="fixed"/>
    <w:sig w:usb0="E0000AFF" w:usb1="400078FF" w:usb2="00000001" w:usb3="00000000" w:csb0="000001B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3CB9"/>
    <w:multiLevelType w:val="multilevel"/>
    <w:tmpl w:val="65FCD1DC"/>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32F62B9"/>
    <w:multiLevelType w:val="multilevel"/>
    <w:tmpl w:val="558AEC40"/>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8B467BB"/>
    <w:multiLevelType w:val="multilevel"/>
    <w:tmpl w:val="6BFC37F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69C1555C"/>
    <w:multiLevelType w:val="multilevel"/>
    <w:tmpl w:val="D6A625F8"/>
    <w:lvl w:ilvl="0">
      <w:start w:val="1"/>
      <w:numFmt w:val="decimal"/>
      <w:suff w:val="nothing"/>
      <w:lvlText w:val="%1."/>
      <w:lvlJc w:val="left"/>
      <w:pPr>
        <w:tabs>
          <w:tab w:val="num" w:pos="709"/>
        </w:tabs>
        <w:ind w:left="709"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1134"/>
  <w:autoHyphenation/>
  <w:hyphenationZone w:val="0"/>
  <w:characterSpacingControl w:val="doNotCompress"/>
  <w:compat>
    <w:doNotBreakWrappedTables/>
    <w:compatSetting w:name="compatibilityMode" w:uri="http://schemas.microsoft.com/office/word" w:val="14"/>
  </w:compat>
  <w:rsids>
    <w:rsidRoot w:val="00474DE9"/>
    <w:rsid w:val="00474DE9"/>
    <w:rsid w:val="005973B3"/>
    <w:rsid w:val="00D45B1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rlito" w:eastAsia="DejaVu Sans" w:hAnsi="Carlito" w:cs="DejaVu Sans"/>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Caractresdenumrotation">
    <w:name w:val="Caractères de numérotation"/>
    <w:qFormat/>
  </w:style>
  <w:style w:type="character" w:styleId="Strong">
    <w:name w:val="Strong"/>
    <w:qFormat/>
    <w:rPr>
      <w:b/>
      <w:bCs/>
    </w:rPr>
  </w:style>
  <w:style w:type="character" w:customStyle="1" w:styleId="Caractresdenotedebasdepage">
    <w:name w:val="Caractères de note de bas de page"/>
    <w:qFormat/>
  </w:style>
  <w:style w:type="character" w:customStyle="1" w:styleId="Caractresdenotedefin">
    <w:name w:val="Caractères de note de fin"/>
    <w:qFormat/>
  </w:style>
  <w:style w:type="character" w:styleId="FollowedHyperlink">
    <w:name w:val="FollowedHyperlink"/>
    <w:rPr>
      <w:color w:val="800000"/>
      <w:u w:val="single"/>
    </w:rPr>
  </w:style>
  <w:style w:type="paragraph" w:styleId="BodyText">
    <w:name w:val="Body Text"/>
    <w:basedOn w:val="Normal"/>
    <w:pPr>
      <w:spacing w:after="283" w:line="276" w:lineRule="auto"/>
    </w:pPr>
  </w:style>
  <w:style w:type="paragraph" w:customStyle="1" w:styleId="Contenudeliste">
    <w:name w:val="Contenu de liste"/>
    <w:basedOn w:val="Normal"/>
    <w:qFormat/>
    <w:pPr>
      <w:ind w:left="567"/>
    </w:pPr>
  </w:style>
  <w:style w:type="paragraph" w:customStyle="1" w:styleId="Titre">
    <w:name w:val="Titre"/>
    <w:basedOn w:val="Normal"/>
    <w:next w:val="BodyText"/>
    <w:qFormat/>
    <w:pPr>
      <w:keepNext/>
      <w:spacing w:before="240" w:after="120"/>
    </w:pPr>
    <w:rPr>
      <w:rFonts w:eastAsia="Noto Sans SC Regular" w:cs="Noto Sans"/>
      <w:sz w:val="28"/>
      <w:szCs w:val="28"/>
    </w:r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customStyle="1" w:styleId="Texteprformat">
    <w:name w:val="Texte préformaté"/>
    <w:basedOn w:val="Normal"/>
    <w:qFormat/>
    <w:rPr>
      <w:rFonts w:ascii="Liberation Mono" w:eastAsia="Liberation Mono" w:hAnsi="Liberation Mono" w:cs="Liberation Mon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rlito" w:eastAsia="DejaVu Sans" w:hAnsi="Carlito" w:cs="DejaVu Sans"/>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Caractresdenumrotation">
    <w:name w:val="Caractères de numérotation"/>
    <w:qFormat/>
  </w:style>
  <w:style w:type="character" w:styleId="Strong">
    <w:name w:val="Strong"/>
    <w:qFormat/>
    <w:rPr>
      <w:b/>
      <w:bCs/>
    </w:rPr>
  </w:style>
  <w:style w:type="character" w:customStyle="1" w:styleId="Caractresdenotedebasdepage">
    <w:name w:val="Caractères de note de bas de page"/>
    <w:qFormat/>
  </w:style>
  <w:style w:type="character" w:customStyle="1" w:styleId="Caractresdenotedefin">
    <w:name w:val="Caractères de note de fin"/>
    <w:qFormat/>
  </w:style>
  <w:style w:type="character" w:styleId="FollowedHyperlink">
    <w:name w:val="FollowedHyperlink"/>
    <w:rPr>
      <w:color w:val="800000"/>
      <w:u w:val="single"/>
    </w:rPr>
  </w:style>
  <w:style w:type="paragraph" w:styleId="BodyText">
    <w:name w:val="Body Text"/>
    <w:basedOn w:val="Normal"/>
    <w:pPr>
      <w:spacing w:after="283" w:line="276" w:lineRule="auto"/>
    </w:pPr>
  </w:style>
  <w:style w:type="paragraph" w:customStyle="1" w:styleId="Contenudeliste">
    <w:name w:val="Contenu de liste"/>
    <w:basedOn w:val="Normal"/>
    <w:qFormat/>
    <w:pPr>
      <w:ind w:left="567"/>
    </w:pPr>
  </w:style>
  <w:style w:type="paragraph" w:customStyle="1" w:styleId="Titre">
    <w:name w:val="Titre"/>
    <w:basedOn w:val="Normal"/>
    <w:next w:val="BodyText"/>
    <w:qFormat/>
    <w:pPr>
      <w:keepNext/>
      <w:spacing w:before="240" w:after="120"/>
    </w:pPr>
    <w:rPr>
      <w:rFonts w:eastAsia="Noto Sans SC Regular" w:cs="Noto Sans"/>
      <w:sz w:val="28"/>
      <w:szCs w:val="28"/>
    </w:r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customStyle="1" w:styleId="Texteprformat">
    <w:name w:val="Texte préformaté"/>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1589</Words>
  <Characters>8741</Characters>
  <Application>Microsoft Office Word</Application>
  <DocSecurity>0</DocSecurity>
  <Lines>72</Lines>
  <Paragraphs>20</Paragraphs>
  <ScaleCrop>false</ScaleCrop>
  <Company/>
  <LinksUpToDate>false</LinksUpToDate>
  <CharactersWithSpaces>10310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Tom</cp:lastModifiedBy>
  <cp:revision>11</cp:revision>
  <dcterms:created xsi:type="dcterms:W3CDTF">2026-06-05T17:30:00Z</dcterms:created>
  <dcterms:modified xsi:type="dcterms:W3CDTF">2026-06-11T17:54:00Z</dcterms:modified>
  <dc:language>fr-FR</dc:language>
</cp:coreProperties>
</file>