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DBC" w:rsidRDefault="00281474">
      <w:pPr>
        <w:widowControl/>
        <w:spacing w:after="283"/>
      </w:pPr>
      <w:bookmarkStart w:id="0" w:name="__DdeLink__321_2274293704"/>
      <w:bookmarkStart w:id="1" w:name="__DdeLink__307_1374815939"/>
      <w:r>
        <w:rPr>
          <w:rStyle w:val="Strong"/>
          <w:rFonts w:ascii="Helvetica" w:hAnsi="Helvetica"/>
          <w:b w:val="0"/>
          <w:color w:val="000000"/>
          <w:sz w:val="20"/>
          <w:szCs w:val="20"/>
        </w:rPr>
        <w:t xml:space="preserve">A la commune d’Ecublens, service de l’urbanisme, </w:t>
      </w:r>
    </w:p>
    <w:p w:rsidR="004B4DBC" w:rsidRDefault="00281474">
      <w:pPr>
        <w:widowControl/>
        <w:spacing w:after="283"/>
        <w:jc w:val="both"/>
      </w:pPr>
      <w:r>
        <w:rPr>
          <w:rStyle w:val="Strong"/>
          <w:rFonts w:ascii="Helvetica" w:hAnsi="Helvetica"/>
          <w:color w:val="000000"/>
          <w:sz w:val="20"/>
          <w:szCs w:val="20"/>
        </w:rPr>
        <w:t xml:space="preserve">Objet : D.3101 - Plan d’affectation communal </w:t>
      </w:r>
      <w:proofErr w:type="spellStart"/>
      <w:r>
        <w:rPr>
          <w:rStyle w:val="Strong"/>
          <w:rFonts w:ascii="Helvetica" w:hAnsi="Helvetica"/>
          <w:color w:val="000000"/>
          <w:sz w:val="20"/>
          <w:szCs w:val="20"/>
        </w:rPr>
        <w:t>PACom</w:t>
      </w:r>
      <w:proofErr w:type="spellEnd"/>
      <w:r>
        <w:rPr>
          <w:rStyle w:val="Strong"/>
          <w:rFonts w:ascii="Helvetica" w:hAnsi="Helvetica"/>
          <w:color w:val="000000"/>
          <w:sz w:val="20"/>
          <w:szCs w:val="20"/>
        </w:rPr>
        <w:t xml:space="preserve"> - Opposition à l’exclusion des terres de </w:t>
      </w:r>
      <w:proofErr w:type="spellStart"/>
      <w:r>
        <w:rPr>
          <w:rStyle w:val="Strong"/>
          <w:rFonts w:ascii="Helvetica" w:hAnsi="Helvetica"/>
          <w:color w:val="000000"/>
          <w:sz w:val="20"/>
          <w:szCs w:val="20"/>
        </w:rPr>
        <w:t>Bassenges</w:t>
      </w:r>
      <w:proofErr w:type="spellEnd"/>
      <w:r>
        <w:rPr>
          <w:rStyle w:val="Strong"/>
          <w:rFonts w:ascii="Helvetica" w:hAnsi="Helvetica"/>
          <w:color w:val="000000"/>
          <w:sz w:val="20"/>
          <w:szCs w:val="20"/>
        </w:rPr>
        <w:t xml:space="preserve"> du </w:t>
      </w:r>
      <w:proofErr w:type="spellStart"/>
      <w:r>
        <w:rPr>
          <w:rStyle w:val="Strong"/>
          <w:rFonts w:ascii="Helvetica" w:hAnsi="Helvetica"/>
          <w:color w:val="000000"/>
          <w:sz w:val="20"/>
          <w:szCs w:val="20"/>
        </w:rPr>
        <w:t>PACom</w:t>
      </w:r>
      <w:proofErr w:type="spellEnd"/>
      <w:r>
        <w:rPr>
          <w:rStyle w:val="Strong"/>
          <w:rFonts w:ascii="Helvetica" w:hAnsi="Helvetica"/>
          <w:color w:val="000000"/>
          <w:sz w:val="20"/>
          <w:szCs w:val="20"/>
        </w:rPr>
        <w:t xml:space="preserve">, subsidiairement son affectation future projetée. </w:t>
      </w:r>
    </w:p>
    <w:p w:rsidR="004B4DBC" w:rsidRDefault="00281474">
      <w:pPr>
        <w:widowControl/>
        <w:spacing w:after="283"/>
      </w:pPr>
      <w:r>
        <w:rPr>
          <w:rStyle w:val="Strong"/>
          <w:rFonts w:ascii="Helvetica" w:hAnsi="Helvetica"/>
          <w:b w:val="0"/>
          <w:color w:val="000000"/>
          <w:sz w:val="20"/>
          <w:szCs w:val="20"/>
        </w:rPr>
        <w:t xml:space="preserve">Nom &amp; Prénom : </w:t>
      </w:r>
      <w:r>
        <w:rPr>
          <w:rStyle w:val="Strong"/>
          <w:rFonts w:ascii="Helvetica" w:hAnsi="Helvetica"/>
          <w:b w:val="0"/>
          <w:color w:val="000000"/>
          <w:sz w:val="20"/>
          <w:szCs w:val="20"/>
        </w:rPr>
        <w:t>__________________________________________________________</w:t>
      </w:r>
      <w:r w:rsidR="00A1046E">
        <w:rPr>
          <w:rStyle w:val="Strong"/>
          <w:rFonts w:ascii="Helvetica" w:hAnsi="Helvetica"/>
          <w:b w:val="0"/>
          <w:color w:val="000000"/>
          <w:sz w:val="20"/>
          <w:szCs w:val="20"/>
        </w:rPr>
        <w:t>___________________________</w:t>
      </w:r>
    </w:p>
    <w:p w:rsidR="004B4DBC" w:rsidRDefault="00281474">
      <w:pPr>
        <w:widowControl/>
        <w:spacing w:after="283"/>
      </w:pPr>
      <w:r>
        <w:rPr>
          <w:rStyle w:val="Strong"/>
          <w:rFonts w:ascii="Helvetica" w:hAnsi="Helvetica"/>
          <w:b w:val="0"/>
          <w:color w:val="000000"/>
          <w:sz w:val="20"/>
          <w:szCs w:val="20"/>
        </w:rPr>
        <w:t>Adresse : __________________________________________________________________</w:t>
      </w:r>
      <w:r w:rsidR="00A1046E">
        <w:rPr>
          <w:rStyle w:val="Strong"/>
          <w:rFonts w:ascii="Helvetica" w:hAnsi="Helvetica"/>
          <w:b w:val="0"/>
          <w:color w:val="000000"/>
          <w:sz w:val="20"/>
          <w:szCs w:val="20"/>
        </w:rPr>
        <w:t>___________________</w:t>
      </w:r>
    </w:p>
    <w:p w:rsidR="004B4DBC" w:rsidRDefault="00281474">
      <w:pPr>
        <w:widowControl/>
        <w:spacing w:after="283"/>
      </w:pPr>
      <w:r>
        <w:rPr>
          <w:rStyle w:val="Strong"/>
          <w:rFonts w:ascii="Helvetica" w:hAnsi="Helvetica"/>
          <w:b w:val="0"/>
          <w:color w:val="000000"/>
          <w:sz w:val="20"/>
          <w:szCs w:val="20"/>
        </w:rPr>
        <w:t>Dans le cadre de l’enquête publique sur la révision géné</w:t>
      </w:r>
      <w:r>
        <w:rPr>
          <w:rStyle w:val="Strong"/>
          <w:rFonts w:ascii="Helvetica" w:hAnsi="Helvetica"/>
          <w:b w:val="0"/>
          <w:color w:val="000000"/>
          <w:sz w:val="20"/>
          <w:szCs w:val="20"/>
        </w:rPr>
        <w:t>rale du Plan d’affectation communal (</w:t>
      </w:r>
      <w:proofErr w:type="spellStart"/>
      <w:r>
        <w:rPr>
          <w:rStyle w:val="Strong"/>
          <w:rFonts w:ascii="Helvetica" w:hAnsi="Helvetica"/>
          <w:b w:val="0"/>
          <w:color w:val="000000"/>
          <w:sz w:val="20"/>
          <w:szCs w:val="20"/>
        </w:rPr>
        <w:t>PACom</w:t>
      </w:r>
      <w:proofErr w:type="spellEnd"/>
      <w:r>
        <w:rPr>
          <w:rStyle w:val="Strong"/>
          <w:rFonts w:ascii="Helvetica" w:hAnsi="Helvetica"/>
          <w:b w:val="0"/>
          <w:color w:val="000000"/>
          <w:sz w:val="20"/>
          <w:szCs w:val="20"/>
        </w:rPr>
        <w:t>) de la Commune d'Ecublens.</w:t>
      </w:r>
    </w:p>
    <w:p w:rsidR="00A1046E" w:rsidRDefault="00281474">
      <w:pPr>
        <w:widowControl/>
        <w:spacing w:after="169" w:line="360" w:lineRule="auto"/>
        <w:rPr>
          <w:rFonts w:ascii="Helvetica" w:hAnsi="Helvetica"/>
          <w:color w:val="000000"/>
          <w:sz w:val="20"/>
          <w:szCs w:val="20"/>
        </w:rPr>
      </w:pPr>
      <w:bookmarkStart w:id="2" w:name="__DdeLink__284_3207982989"/>
      <w:bookmarkEnd w:id="2"/>
      <w:proofErr w:type="spellStart"/>
      <w:r>
        <w:rPr>
          <w:rFonts w:ascii="Helvetica" w:hAnsi="Helvetica"/>
          <w:color w:val="000000"/>
          <w:sz w:val="20"/>
          <w:szCs w:val="20"/>
        </w:rPr>
        <w:t>Affecté·e</w:t>
      </w:r>
      <w:proofErr w:type="spellEnd"/>
      <w:r>
        <w:rPr>
          <w:rFonts w:ascii="Helvetica" w:hAnsi="Helvetica"/>
          <w:color w:val="000000"/>
          <w:sz w:val="20"/>
          <w:szCs w:val="20"/>
        </w:rPr>
        <w:t xml:space="preserve"> directement par la décision (raiso</w:t>
      </w:r>
      <w:bookmarkStart w:id="3" w:name="_GoBack"/>
      <w:bookmarkEnd w:id="3"/>
      <w:r>
        <w:rPr>
          <w:rFonts w:ascii="Helvetica" w:hAnsi="Helvetica"/>
          <w:color w:val="000000"/>
          <w:sz w:val="20"/>
          <w:szCs w:val="20"/>
        </w:rPr>
        <w:t xml:space="preserve">n) </w:t>
      </w:r>
      <w:r>
        <w:rPr>
          <w:rFonts w:ascii="Helvetica" w:hAnsi="Helvetica"/>
          <w:color w:val="000000"/>
          <w:sz w:val="20"/>
          <w:szCs w:val="20"/>
        </w:rPr>
        <w:t xml:space="preserve">: </w:t>
      </w:r>
    </w:p>
    <w:p w:rsidR="004B4DBC" w:rsidRDefault="00A1046E">
      <w:pPr>
        <w:widowControl/>
        <w:spacing w:after="169" w:line="360" w:lineRule="auto"/>
      </w:pPr>
      <w:r>
        <w:rPr>
          <w:rFonts w:ascii="Helvetica" w:hAnsi="Helvetica"/>
          <w:color w:val="000000"/>
          <w:sz w:val="20"/>
          <w:szCs w:val="20"/>
        </w:rPr>
        <w:t>_______________________________</w:t>
      </w:r>
      <w:r>
        <w:rPr>
          <w:rStyle w:val="Strong"/>
          <w:rFonts w:ascii="Helvetica" w:hAnsi="Helvetica"/>
          <w:b w:val="0"/>
          <w:color w:val="000000"/>
          <w:sz w:val="20"/>
          <w:szCs w:val="20"/>
        </w:rPr>
        <w:t>_____________________________________________________________________________________________________________________________________________</w:t>
      </w:r>
      <w:r w:rsidR="00281474">
        <w:rPr>
          <w:rFonts w:ascii="Helvetica" w:hAnsi="Helvetica"/>
          <w:color w:val="000000"/>
          <w:sz w:val="20"/>
          <w:szCs w:val="20"/>
        </w:rPr>
        <w:br/>
        <w:t>_______________________________</w:t>
      </w:r>
      <w:r w:rsidR="00281474">
        <w:rPr>
          <w:rStyle w:val="Strong"/>
          <w:rFonts w:ascii="Helvetica" w:hAnsi="Helvetica"/>
          <w:b w:val="0"/>
          <w:color w:val="000000"/>
          <w:sz w:val="20"/>
          <w:szCs w:val="20"/>
        </w:rPr>
        <w:t>_______________________________________________</w:t>
      </w:r>
      <w:r w:rsidR="00281474">
        <w:rPr>
          <w:rStyle w:val="Strong"/>
          <w:rFonts w:ascii="Helvetica" w:hAnsi="Helvetica"/>
          <w:b w:val="0"/>
          <w:color w:val="000000"/>
          <w:sz w:val="20"/>
          <w:szCs w:val="20"/>
        </w:rPr>
        <w:t>______________________________________________________________________________________________</w:t>
      </w:r>
      <w:bookmarkEnd w:id="0"/>
      <w:bookmarkEnd w:id="1"/>
    </w:p>
    <w:p w:rsidR="004B4DBC" w:rsidRDefault="00281474">
      <w:pPr>
        <w:widowControl/>
        <w:numPr>
          <w:ilvl w:val="0"/>
          <w:numId w:val="2"/>
        </w:numPr>
        <w:spacing w:after="169"/>
        <w:ind w:left="0" w:firstLine="0"/>
        <w:jc w:val="both"/>
      </w:pPr>
      <w:r>
        <w:rPr>
          <w:rStyle w:val="Strong"/>
          <w:rFonts w:ascii="Helvetica" w:hAnsi="Helvetica"/>
          <w:b w:val="0"/>
          <w:color w:val="000000"/>
          <w:sz w:val="22"/>
          <w:szCs w:val="22"/>
        </w:rPr>
        <w:t>SUR LA QUALITÉ POUR AGIR DE L’OPPOSANT (art. 75 LPA-VD)</w:t>
      </w:r>
    </w:p>
    <w:p w:rsidR="004B4DBC" w:rsidRDefault="00281474">
      <w:pPr>
        <w:widowControl/>
        <w:spacing w:after="283"/>
        <w:jc w:val="both"/>
        <w:rPr>
          <w:rFonts w:ascii="Helvetica" w:hAnsi="Helvetica"/>
          <w:color w:val="000000"/>
          <w:sz w:val="20"/>
          <w:szCs w:val="20"/>
        </w:rPr>
      </w:pPr>
      <w:r>
        <w:rPr>
          <w:rFonts w:ascii="Helvetica" w:hAnsi="Helvetica"/>
          <w:color w:val="000000"/>
          <w:sz w:val="20"/>
          <w:szCs w:val="20"/>
        </w:rPr>
        <w:t xml:space="preserve">En vertu de l’article 75 de la Loi vaudoise sur la procédure </w:t>
      </w:r>
      <w:r>
        <w:rPr>
          <w:rFonts w:ascii="Helvetica" w:hAnsi="Helvetica"/>
          <w:color w:val="000000"/>
          <w:sz w:val="20"/>
          <w:szCs w:val="20"/>
        </w:rPr>
        <w:t>administrative (LPA-VD), a la qualité pour former opposition toute personne physique ou morale qui est touchée de manière directe par la décision attaquée et qui dispose d’un intérêt digne de protection à son annulation ou à sa modification.</w:t>
      </w:r>
    </w:p>
    <w:p w:rsidR="004B4DBC" w:rsidRDefault="00281474">
      <w:pPr>
        <w:widowControl/>
        <w:numPr>
          <w:ilvl w:val="0"/>
          <w:numId w:val="2"/>
        </w:numPr>
        <w:spacing w:after="169"/>
        <w:ind w:left="0" w:firstLine="0"/>
        <w:jc w:val="both"/>
      </w:pPr>
      <w:r>
        <w:rPr>
          <w:rStyle w:val="Strong"/>
          <w:rFonts w:ascii="Helvetica" w:hAnsi="Helvetica"/>
          <w:b w:val="0"/>
          <w:color w:val="000000"/>
          <w:sz w:val="22"/>
          <w:szCs w:val="22"/>
        </w:rPr>
        <w:t>RAPPEL DES FAI</w:t>
      </w:r>
      <w:r>
        <w:rPr>
          <w:rStyle w:val="Strong"/>
          <w:rFonts w:ascii="Helvetica" w:hAnsi="Helvetica"/>
          <w:b w:val="0"/>
          <w:color w:val="000000"/>
          <w:sz w:val="22"/>
          <w:szCs w:val="22"/>
        </w:rPr>
        <w:t>TS</w:t>
      </w:r>
    </w:p>
    <w:p w:rsidR="004B4DBC" w:rsidRDefault="00281474">
      <w:pPr>
        <w:widowControl/>
        <w:spacing w:after="283"/>
        <w:jc w:val="both"/>
        <w:rPr>
          <w:rFonts w:ascii="Helvetica" w:hAnsi="Helvetica"/>
          <w:color w:val="000000"/>
          <w:sz w:val="20"/>
          <w:szCs w:val="20"/>
        </w:rPr>
      </w:pPr>
      <w:r>
        <w:rPr>
          <w:rFonts w:ascii="Helvetica" w:hAnsi="Helvetica"/>
          <w:color w:val="000000"/>
          <w:sz w:val="20"/>
          <w:szCs w:val="20"/>
        </w:rPr>
        <w:t>La parcelle n° 944 est exploitée comme domaine agricole comprenant des terres cultivables ainsi que plusieurs bâtiments d'exploitation. La Confédération (EPFL) a récemment manifesté son intérêt à développer ce secteur et a lancé un concours d’architectu</w:t>
      </w:r>
      <w:r>
        <w:rPr>
          <w:rFonts w:ascii="Helvetica" w:hAnsi="Helvetica"/>
          <w:color w:val="000000"/>
          <w:sz w:val="20"/>
          <w:szCs w:val="20"/>
        </w:rPr>
        <w:t xml:space="preserve">re en vue d'implanter de futurs locaux académiques et des bureaux sur cette même parcelle. Dans le cadre de la révision de son </w:t>
      </w:r>
      <w:proofErr w:type="spellStart"/>
      <w:r>
        <w:rPr>
          <w:rFonts w:ascii="Helvetica" w:hAnsi="Helvetica"/>
          <w:color w:val="000000"/>
          <w:sz w:val="20"/>
          <w:szCs w:val="20"/>
        </w:rPr>
        <w:t>PACom</w:t>
      </w:r>
      <w:proofErr w:type="spellEnd"/>
      <w:r>
        <w:rPr>
          <w:rFonts w:ascii="Helvetica" w:hAnsi="Helvetica"/>
          <w:color w:val="000000"/>
          <w:sz w:val="20"/>
          <w:szCs w:val="20"/>
        </w:rPr>
        <w:t>, la Commune a choisi d’exclure la parcelle n° 944 de la planification générale. Dans le rapport justificatif (Rapport 47 LA</w:t>
      </w:r>
      <w:r>
        <w:rPr>
          <w:rFonts w:ascii="Helvetica" w:hAnsi="Helvetica"/>
          <w:color w:val="000000"/>
          <w:sz w:val="20"/>
          <w:szCs w:val="20"/>
        </w:rPr>
        <w:t xml:space="preserve">TC), les autorités précisent que cette exclusion est motivée par la "vocation de polarité d’équipements collectifs" prévue par le </w:t>
      </w:r>
      <w:bookmarkStart w:id="4" w:name="__DdeLink__263_3207982989"/>
      <w:r>
        <w:rPr>
          <w:rFonts w:ascii="Helvetica" w:hAnsi="Helvetica"/>
          <w:color w:val="000000"/>
          <w:sz w:val="20"/>
          <w:szCs w:val="20"/>
        </w:rPr>
        <w:t>Plan directeur intercommunal de l'Ouest lausannois (</w:t>
      </w:r>
      <w:proofErr w:type="spellStart"/>
      <w:r>
        <w:rPr>
          <w:rFonts w:ascii="Helvetica" w:hAnsi="Helvetica"/>
          <w:color w:val="000000"/>
          <w:sz w:val="20"/>
          <w:szCs w:val="20"/>
        </w:rPr>
        <w:t>PDi</w:t>
      </w:r>
      <w:proofErr w:type="spellEnd"/>
      <w:r>
        <w:rPr>
          <w:rFonts w:ascii="Helvetica" w:hAnsi="Helvetica"/>
          <w:color w:val="000000"/>
          <w:sz w:val="20"/>
          <w:szCs w:val="20"/>
        </w:rPr>
        <w:t>-OL)</w:t>
      </w:r>
      <w:bookmarkEnd w:id="4"/>
      <w:r>
        <w:rPr>
          <w:rFonts w:ascii="Helvetica" w:hAnsi="Helvetica"/>
          <w:color w:val="000000"/>
          <w:sz w:val="20"/>
          <w:szCs w:val="20"/>
        </w:rPr>
        <w:t xml:space="preserve">, et renvoient le traitement de ce secteur à la future révision du </w:t>
      </w:r>
      <w:r>
        <w:rPr>
          <w:rFonts w:ascii="Helvetica" w:hAnsi="Helvetica"/>
          <w:color w:val="000000"/>
          <w:sz w:val="20"/>
          <w:szCs w:val="20"/>
        </w:rPr>
        <w:t xml:space="preserve">Plan d’affectation cantonal "Hautes Écoles" (PAC 229). Or, cette mise à l'écart volontaire du </w:t>
      </w:r>
      <w:proofErr w:type="spellStart"/>
      <w:r>
        <w:rPr>
          <w:rFonts w:ascii="Helvetica" w:hAnsi="Helvetica"/>
          <w:color w:val="000000"/>
          <w:sz w:val="20"/>
          <w:szCs w:val="20"/>
        </w:rPr>
        <w:t>PACom</w:t>
      </w:r>
      <w:proofErr w:type="spellEnd"/>
      <w:r>
        <w:rPr>
          <w:rFonts w:ascii="Helvetica" w:hAnsi="Helvetica"/>
          <w:color w:val="000000"/>
          <w:sz w:val="20"/>
          <w:szCs w:val="20"/>
        </w:rPr>
        <w:t xml:space="preserve"> repose sur des prémisses erronées et omet des contraintes légales impératives.</w:t>
      </w:r>
    </w:p>
    <w:p w:rsidR="004B4DBC" w:rsidRDefault="00281474">
      <w:pPr>
        <w:widowControl/>
        <w:numPr>
          <w:ilvl w:val="0"/>
          <w:numId w:val="2"/>
        </w:numPr>
        <w:spacing w:after="169"/>
        <w:ind w:left="0" w:firstLine="0"/>
        <w:jc w:val="both"/>
      </w:pPr>
      <w:bookmarkStart w:id="5" w:name="__DdeLink__263_1404875930"/>
      <w:r>
        <w:rPr>
          <w:rStyle w:val="Strong"/>
          <w:rFonts w:ascii="Helvetica" w:hAnsi="Helvetica"/>
          <w:b w:val="0"/>
          <w:color w:val="000000"/>
          <w:sz w:val="22"/>
          <w:szCs w:val="22"/>
        </w:rPr>
        <w:t>GRIEFS SUR LE FOND</w:t>
      </w:r>
      <w:bookmarkEnd w:id="5"/>
    </w:p>
    <w:p w:rsidR="004B4DBC" w:rsidRDefault="00281474">
      <w:pPr>
        <w:widowControl/>
        <w:jc w:val="both"/>
      </w:pPr>
      <w:r>
        <w:rPr>
          <w:rStyle w:val="Strong"/>
          <w:rFonts w:ascii="Helvetica" w:hAnsi="Helvetica"/>
          <w:b w:val="0"/>
          <w:color w:val="000000"/>
          <w:sz w:val="20"/>
          <w:szCs w:val="20"/>
        </w:rPr>
        <w:t xml:space="preserve">1. </w:t>
      </w:r>
      <w:proofErr w:type="spellStart"/>
      <w:r>
        <w:rPr>
          <w:rStyle w:val="Strong"/>
          <w:rFonts w:ascii="Helvetica" w:hAnsi="Helvetica"/>
          <w:b w:val="0"/>
          <w:color w:val="000000"/>
          <w:sz w:val="20"/>
          <w:szCs w:val="20"/>
          <w:u w:val="single"/>
        </w:rPr>
        <w:t>Irréalisabilité</w:t>
      </w:r>
      <w:proofErr w:type="spellEnd"/>
      <w:r>
        <w:rPr>
          <w:rStyle w:val="Strong"/>
          <w:rFonts w:ascii="Helvetica" w:hAnsi="Helvetica"/>
          <w:b w:val="0"/>
          <w:color w:val="000000"/>
          <w:sz w:val="20"/>
          <w:szCs w:val="20"/>
          <w:u w:val="single"/>
        </w:rPr>
        <w:t xml:space="preserve"> matérielle et réglementaire du projet d</w:t>
      </w:r>
      <w:r>
        <w:rPr>
          <w:rStyle w:val="Strong"/>
          <w:rFonts w:ascii="Helvetica" w:hAnsi="Helvetica"/>
          <w:b w:val="0"/>
          <w:color w:val="000000"/>
          <w:sz w:val="20"/>
          <w:szCs w:val="20"/>
          <w:u w:val="single"/>
        </w:rPr>
        <w:t>e l'EPFL : Protection absolue du patrimoine culturel immobilier (</w:t>
      </w:r>
      <w:proofErr w:type="spellStart"/>
      <w:r>
        <w:rPr>
          <w:rStyle w:val="Strong"/>
          <w:rFonts w:ascii="Helvetica" w:hAnsi="Helvetica"/>
          <w:b w:val="0"/>
          <w:color w:val="000000"/>
          <w:sz w:val="20"/>
          <w:szCs w:val="20"/>
          <w:u w:val="single"/>
        </w:rPr>
        <w:t>LPrPCI</w:t>
      </w:r>
      <w:proofErr w:type="spellEnd"/>
      <w:r>
        <w:rPr>
          <w:rStyle w:val="Strong"/>
          <w:rFonts w:ascii="Helvetica" w:hAnsi="Helvetica"/>
          <w:b w:val="0"/>
          <w:color w:val="000000"/>
          <w:sz w:val="20"/>
          <w:szCs w:val="20"/>
          <w:u w:val="single"/>
        </w:rPr>
        <w:t>)</w:t>
      </w:r>
    </w:p>
    <w:p w:rsidR="004B4DBC" w:rsidRDefault="00281474">
      <w:pPr>
        <w:widowControl/>
        <w:jc w:val="both"/>
      </w:pPr>
      <w:r>
        <w:rPr>
          <w:rFonts w:ascii="Helvetica" w:hAnsi="Helvetica"/>
          <w:color w:val="000000"/>
          <w:sz w:val="20"/>
          <w:szCs w:val="20"/>
        </w:rPr>
        <w:t>La justification de la Commune repose entièrement sur</w:t>
      </w:r>
      <w:bookmarkStart w:id="6" w:name="__DdeLink__270_3207982989"/>
      <w:r>
        <w:rPr>
          <w:rFonts w:ascii="Helvetica" w:hAnsi="Helvetica"/>
          <w:color w:val="000000"/>
          <w:sz w:val="20"/>
          <w:szCs w:val="20"/>
        </w:rPr>
        <w:t xml:space="preserve"> la réalisation à terme du projet d’équipements collectifs de l’EPFL.</w:t>
      </w:r>
      <w:bookmarkEnd w:id="6"/>
      <w:r>
        <w:rPr>
          <w:rFonts w:ascii="Helvetica" w:hAnsi="Helvetica"/>
          <w:color w:val="000000"/>
          <w:sz w:val="20"/>
          <w:szCs w:val="20"/>
        </w:rPr>
        <w:t xml:space="preserve"> Or, les autorités omettent une contrainte patrimoniale majeu</w:t>
      </w:r>
      <w:r>
        <w:rPr>
          <w:rFonts w:ascii="Helvetica" w:hAnsi="Helvetica"/>
          <w:color w:val="000000"/>
          <w:sz w:val="20"/>
          <w:szCs w:val="20"/>
        </w:rPr>
        <w:t>re : </w:t>
      </w:r>
      <w:r>
        <w:rPr>
          <w:rStyle w:val="Strong"/>
          <w:rFonts w:ascii="Helvetica" w:hAnsi="Helvetica"/>
          <w:b w:val="0"/>
          <w:color w:val="000000"/>
          <w:sz w:val="20"/>
          <w:szCs w:val="20"/>
        </w:rPr>
        <w:t>les bâtiments agricoles présents sur la parcelle n° 944 sont quasiment tous recensés en Note 2 au Recensement architectural vaudois et sont formellement inscrits à l’inventaire cantonal.</w:t>
      </w:r>
      <w:r>
        <w:rPr>
          <w:rFonts w:ascii="Helvetica" w:hAnsi="Helvetica"/>
          <w:color w:val="000000"/>
          <w:sz w:val="20"/>
          <w:szCs w:val="20"/>
        </w:rPr>
        <w:br/>
        <w:t>En vertu de la Loi sur la protection du patrimoine culturel immo</w:t>
      </w:r>
      <w:r>
        <w:rPr>
          <w:rFonts w:ascii="Helvetica" w:hAnsi="Helvetica"/>
          <w:color w:val="000000"/>
          <w:sz w:val="20"/>
          <w:szCs w:val="20"/>
        </w:rPr>
        <w:t>bilier (</w:t>
      </w:r>
      <w:proofErr w:type="spellStart"/>
      <w:r>
        <w:rPr>
          <w:rStyle w:val="Strong"/>
          <w:rFonts w:ascii="Helvetica" w:hAnsi="Helvetica"/>
          <w:b w:val="0"/>
          <w:color w:val="000000"/>
          <w:sz w:val="20"/>
          <w:szCs w:val="20"/>
        </w:rPr>
        <w:t>LPrPCI</w:t>
      </w:r>
      <w:proofErr w:type="spellEnd"/>
      <w:r>
        <w:rPr>
          <w:rFonts w:ascii="Helvetica" w:hAnsi="Helvetica"/>
          <w:color w:val="000000"/>
          <w:sz w:val="20"/>
          <w:szCs w:val="20"/>
        </w:rPr>
        <w:t>), la Note 2 consacre un monument d'importance cantonale et impose une obligation stricte de conservation de la substance historique et de la typologie des bâtiments. Le projet de l’EPFL – qui implique l'implantation de bureaux, de laboratoir</w:t>
      </w:r>
      <w:r>
        <w:rPr>
          <w:rFonts w:ascii="Helvetica" w:hAnsi="Helvetica"/>
          <w:color w:val="000000"/>
          <w:sz w:val="20"/>
          <w:szCs w:val="20"/>
        </w:rPr>
        <w:t>es ou de locaux administratifs à l'intérieur de ces granges – est techniquement et réglementairement irréalisable. Les normes d'isolation thermique, phonique, de sécurité incendie et l'exigence de lumière naturelle (impliquant la création d'ouvertures en t</w:t>
      </w:r>
      <w:r>
        <w:rPr>
          <w:rFonts w:ascii="Helvetica" w:hAnsi="Helvetica"/>
          <w:color w:val="000000"/>
          <w:sz w:val="20"/>
          <w:szCs w:val="20"/>
        </w:rPr>
        <w:t xml:space="preserve">oiture, strictement interdite pour un objet Note 2) détruiraient la substance typologique du site. Le projet se heurte donc à un obstacle patrimonial de droit public insurmontable. </w:t>
      </w:r>
      <w:r>
        <w:rPr>
          <w:rFonts w:ascii="Helvetica" w:hAnsi="Helvetica"/>
          <w:color w:val="000000"/>
          <w:sz w:val="20"/>
          <w:szCs w:val="20"/>
        </w:rPr>
        <w:t>De surcroît, toute transformation des bâtiments en vertu de l’article 24d (</w:t>
      </w:r>
      <w:r>
        <w:rPr>
          <w:rFonts w:ascii="Helvetica" w:hAnsi="Helvetica"/>
          <w:color w:val="000000"/>
          <w:sz w:val="20"/>
          <w:szCs w:val="20"/>
        </w:rPr>
        <w:t xml:space="preserve">LAT) semble également irrecevable. En effet, rien ne prouve à ce stade l’application des alinéas 2 et 3 et une telle démarche de requalification des bâtiments protégés devrait être sujette à une procédure séparée. </w:t>
      </w:r>
    </w:p>
    <w:p w:rsidR="004B4DBC" w:rsidRDefault="00281474">
      <w:pPr>
        <w:widowControl/>
        <w:jc w:val="both"/>
        <w:rPr>
          <w:rFonts w:ascii="Helvetica" w:hAnsi="Helvetica"/>
          <w:color w:val="000000"/>
          <w:sz w:val="20"/>
          <w:szCs w:val="20"/>
        </w:rPr>
      </w:pPr>
      <w:bookmarkStart w:id="7" w:name="__DdeLink__282_3207982989"/>
      <w:bookmarkStart w:id="8" w:name="__DdeLink__278_3207982989"/>
      <w:r>
        <w:rPr>
          <w:rFonts w:ascii="Helvetica" w:hAnsi="Helvetica"/>
          <w:color w:val="000000"/>
          <w:sz w:val="20"/>
          <w:szCs w:val="20"/>
        </w:rPr>
        <w:lastRenderedPageBreak/>
        <w:t>Selon la jurisprudence, planifier une zon</w:t>
      </w:r>
      <w:r>
        <w:rPr>
          <w:rFonts w:ascii="Helvetica" w:hAnsi="Helvetica"/>
          <w:color w:val="000000"/>
          <w:sz w:val="20"/>
          <w:szCs w:val="20"/>
        </w:rPr>
        <w:t xml:space="preserve">e ou en exclure une parcelle en vue d'un projet manifestement condamné à l'échec constitue un abus du pouvoir d'appréciation et un défaut grave dans la pesée des intérêts (art. 3 OAT). </w:t>
      </w:r>
      <w:bookmarkEnd w:id="7"/>
      <w:bookmarkEnd w:id="8"/>
    </w:p>
    <w:p w:rsidR="004B4DBC" w:rsidRDefault="004B4DBC">
      <w:pPr>
        <w:widowControl/>
        <w:spacing w:before="57" w:after="57"/>
        <w:jc w:val="both"/>
        <w:rPr>
          <w:rFonts w:ascii="Helvetica" w:hAnsi="Helvetica"/>
          <w:color w:val="000000"/>
          <w:sz w:val="20"/>
          <w:szCs w:val="20"/>
        </w:rPr>
      </w:pPr>
    </w:p>
    <w:p w:rsidR="004B4DBC" w:rsidRDefault="00281474">
      <w:pPr>
        <w:widowControl/>
        <w:jc w:val="both"/>
      </w:pPr>
      <w:r>
        <w:rPr>
          <w:rStyle w:val="Strong"/>
          <w:rFonts w:ascii="Helvetica" w:hAnsi="Helvetica"/>
          <w:b w:val="0"/>
          <w:color w:val="000000"/>
          <w:sz w:val="20"/>
          <w:szCs w:val="20"/>
        </w:rPr>
        <w:t xml:space="preserve">2. </w:t>
      </w:r>
      <w:r>
        <w:rPr>
          <w:rStyle w:val="Strong"/>
          <w:rFonts w:ascii="Helvetica" w:hAnsi="Helvetica"/>
          <w:b w:val="0"/>
          <w:color w:val="000000"/>
          <w:sz w:val="20"/>
          <w:szCs w:val="20"/>
          <w:u w:val="single"/>
        </w:rPr>
        <w:t>Erreur de qualification territoriale et violation de la protection</w:t>
      </w:r>
      <w:r>
        <w:rPr>
          <w:rStyle w:val="Strong"/>
          <w:rFonts w:ascii="Helvetica" w:hAnsi="Helvetica"/>
          <w:b w:val="0"/>
          <w:color w:val="000000"/>
          <w:sz w:val="20"/>
          <w:szCs w:val="20"/>
          <w:u w:val="single"/>
        </w:rPr>
        <w:t xml:space="preserve"> des Surfaces d'Assolement (SDA)</w:t>
      </w:r>
    </w:p>
    <w:p w:rsidR="004B4DBC" w:rsidRDefault="00281474">
      <w:pPr>
        <w:widowControl/>
        <w:spacing w:after="283"/>
        <w:jc w:val="both"/>
      </w:pPr>
      <w:r>
        <w:rPr>
          <w:rFonts w:ascii="Helvetica" w:hAnsi="Helvetica"/>
          <w:color w:val="000000"/>
          <w:sz w:val="20"/>
          <w:szCs w:val="20"/>
        </w:rPr>
        <w:t>La parcelle n° 944 est entièrement affectée aux </w:t>
      </w:r>
      <w:r>
        <w:rPr>
          <w:rStyle w:val="Strong"/>
          <w:rFonts w:ascii="Helvetica" w:hAnsi="Helvetica"/>
          <w:b w:val="0"/>
          <w:color w:val="000000"/>
          <w:sz w:val="20"/>
          <w:szCs w:val="20"/>
        </w:rPr>
        <w:t>Surfaces d'Assolement (SDA)</w:t>
      </w:r>
      <w:r>
        <w:rPr>
          <w:rFonts w:ascii="Helvetica" w:hAnsi="Helvetica"/>
          <w:color w:val="000000"/>
          <w:sz w:val="20"/>
          <w:szCs w:val="20"/>
        </w:rPr>
        <w:t>, qui représentent les terres agricoles les plus précieuses du pays, protégées de manière drastique par le droit fédéral (art. 26 LAT et art. 30 OAT</w:t>
      </w:r>
      <w:r>
        <w:rPr>
          <w:rFonts w:ascii="Helvetica" w:hAnsi="Helvetica"/>
          <w:color w:val="000000"/>
          <w:sz w:val="20"/>
          <w:szCs w:val="20"/>
        </w:rPr>
        <w:t>). Le sacrifice de SDA pour des zones d'équipements publics n'est admis par le Tribunal fédéral et la CDAP qu’à des conditions subsidiaires extrêmement strictes, à savoir l'absence totale de toute autre alternative d'implantation. Prétendre geler cette par</w:t>
      </w:r>
      <w:r>
        <w:rPr>
          <w:rFonts w:ascii="Helvetica" w:hAnsi="Helvetica"/>
          <w:color w:val="000000"/>
          <w:sz w:val="20"/>
          <w:szCs w:val="20"/>
        </w:rPr>
        <w:t>celle dans l'attente d'un PAC pour un projet de bureaux compromis par les contraintes patrimoniales viole le principe de la gestion mesurée du sol. À l’inverse, une affectation communale directe de la parcelle n° 944 en </w:t>
      </w:r>
      <w:r>
        <w:rPr>
          <w:rStyle w:val="Strong"/>
          <w:rFonts w:ascii="Helvetica" w:hAnsi="Helvetica"/>
          <w:b w:val="0"/>
          <w:color w:val="000000"/>
          <w:sz w:val="20"/>
          <w:szCs w:val="20"/>
        </w:rPr>
        <w:t>zone agricole</w:t>
      </w:r>
      <w:r>
        <w:rPr>
          <w:rFonts w:ascii="Helvetica" w:hAnsi="Helvetica"/>
          <w:color w:val="000000"/>
          <w:sz w:val="20"/>
          <w:szCs w:val="20"/>
        </w:rPr>
        <w:t xml:space="preserve"> dans le présent </w:t>
      </w:r>
      <w:proofErr w:type="spellStart"/>
      <w:r>
        <w:rPr>
          <w:rFonts w:ascii="Helvetica" w:hAnsi="Helvetica"/>
          <w:color w:val="000000"/>
          <w:sz w:val="20"/>
          <w:szCs w:val="20"/>
        </w:rPr>
        <w:t>PACom</w:t>
      </w:r>
      <w:proofErr w:type="spellEnd"/>
      <w:r>
        <w:rPr>
          <w:rFonts w:ascii="Helvetica" w:hAnsi="Helvetica"/>
          <w:color w:val="000000"/>
          <w:sz w:val="20"/>
          <w:szCs w:val="20"/>
        </w:rPr>
        <w:t xml:space="preserve"> </w:t>
      </w:r>
      <w:r>
        <w:rPr>
          <w:rFonts w:ascii="Helvetica" w:hAnsi="Helvetica"/>
          <w:color w:val="000000"/>
          <w:sz w:val="20"/>
          <w:szCs w:val="20"/>
        </w:rPr>
        <w:t xml:space="preserve">répondrait immédiatement et idéalement aux objectifs du </w:t>
      </w:r>
      <w:proofErr w:type="spellStart"/>
      <w:r>
        <w:rPr>
          <w:rFonts w:ascii="Helvetica" w:hAnsi="Helvetica"/>
          <w:color w:val="000000"/>
          <w:sz w:val="20"/>
          <w:szCs w:val="20"/>
        </w:rPr>
        <w:t>PDi</w:t>
      </w:r>
      <w:proofErr w:type="spellEnd"/>
      <w:r>
        <w:rPr>
          <w:rFonts w:ascii="Helvetica" w:hAnsi="Helvetica"/>
          <w:color w:val="000000"/>
          <w:sz w:val="20"/>
          <w:szCs w:val="20"/>
        </w:rPr>
        <w:t>-OL. Le plan directeur intercommunal exige en effet le maintien des coupures vertes, de la biodiversité et d'une agriculture de proximité au sein de la couronne urbaine. Maintenir la vocation agric</w:t>
      </w:r>
      <w:r>
        <w:rPr>
          <w:rFonts w:ascii="Helvetica" w:hAnsi="Helvetica"/>
          <w:color w:val="000000"/>
          <w:sz w:val="20"/>
          <w:szCs w:val="20"/>
        </w:rPr>
        <w:t>ole et la lier aux bâtiments Note 2 existants est la seule manière de pérenniser ce patrimoine tout en protégeant les SDA.</w:t>
      </w:r>
      <w:r>
        <w:rPr>
          <w:rFonts w:ascii="Helvetica" w:hAnsi="Helvetica"/>
          <w:color w:val="000000"/>
          <w:sz w:val="20"/>
          <w:szCs w:val="20"/>
        </w:rPr>
        <w:t xml:space="preserve"> </w:t>
      </w:r>
      <w:bookmarkStart w:id="9" w:name="__DdeLink__292_3207982989"/>
      <w:r>
        <w:rPr>
          <w:rFonts w:ascii="Helvetica" w:hAnsi="Helvetica"/>
          <w:color w:val="000000"/>
          <w:sz w:val="20"/>
          <w:szCs w:val="20"/>
        </w:rPr>
        <w:t xml:space="preserve">A noter également que, en ce qui concerne le développement des Hautes Ecole, le </w:t>
      </w:r>
      <w:proofErr w:type="spellStart"/>
      <w:r>
        <w:rPr>
          <w:rFonts w:ascii="Helvetica" w:hAnsi="Helvetica"/>
          <w:color w:val="000000"/>
          <w:sz w:val="20"/>
          <w:szCs w:val="20"/>
        </w:rPr>
        <w:t>PDi</w:t>
      </w:r>
      <w:proofErr w:type="spellEnd"/>
      <w:r>
        <w:rPr>
          <w:rFonts w:ascii="Helvetica" w:hAnsi="Helvetica"/>
          <w:color w:val="000000"/>
          <w:sz w:val="20"/>
          <w:szCs w:val="20"/>
        </w:rPr>
        <w:t xml:space="preserve">-OL renvoie au Schéma Directeur des Hautes Ecoles </w:t>
      </w:r>
      <w:r>
        <w:rPr>
          <w:rFonts w:ascii="Helvetica" w:hAnsi="Helvetica"/>
          <w:color w:val="000000"/>
          <w:sz w:val="20"/>
          <w:szCs w:val="20"/>
        </w:rPr>
        <w:t xml:space="preserve">(SDHE). Une affectation agricole semble la seule manière de répondre à la mesure « N3 Agriculture par exploitant » du SDHE, ainsi qu’à la volonté du </w:t>
      </w:r>
      <w:proofErr w:type="spellStart"/>
      <w:r>
        <w:rPr>
          <w:rFonts w:ascii="Helvetica" w:hAnsi="Helvetica"/>
          <w:color w:val="000000"/>
          <w:sz w:val="20"/>
          <w:szCs w:val="20"/>
        </w:rPr>
        <w:t>PDi</w:t>
      </w:r>
      <w:proofErr w:type="spellEnd"/>
      <w:r>
        <w:rPr>
          <w:rFonts w:ascii="Helvetica" w:hAnsi="Helvetica"/>
          <w:color w:val="000000"/>
          <w:sz w:val="20"/>
          <w:szCs w:val="20"/>
        </w:rPr>
        <w:t>-OL</w:t>
      </w:r>
      <w:bookmarkStart w:id="10" w:name="__DdeLink__267_3207982989"/>
      <w:r>
        <w:rPr>
          <w:rFonts w:ascii="Helvetica" w:hAnsi="Helvetica"/>
          <w:color w:val="000000"/>
          <w:sz w:val="20"/>
          <w:szCs w:val="20"/>
        </w:rPr>
        <w:t xml:space="preserve"> de créer des mixités d’usages et de favoriser les échanges et interactions avec la population et les</w:t>
      </w:r>
      <w:r>
        <w:rPr>
          <w:rFonts w:ascii="Helvetica" w:hAnsi="Helvetica"/>
          <w:color w:val="000000"/>
          <w:sz w:val="20"/>
          <w:szCs w:val="20"/>
        </w:rPr>
        <w:t xml:space="preserve"> territoires adjacents au sein du périmètre de</w:t>
      </w:r>
      <w:bookmarkStart w:id="11" w:name="__DdeLink__272_3207982989"/>
      <w:r>
        <w:rPr>
          <w:rFonts w:ascii="Helvetica" w:hAnsi="Helvetica"/>
          <w:color w:val="000000"/>
          <w:sz w:val="20"/>
          <w:szCs w:val="20"/>
        </w:rPr>
        <w:t xml:space="preserve"> Polarité d’équipements collectifs.</w:t>
      </w:r>
      <w:bookmarkEnd w:id="9"/>
      <w:bookmarkEnd w:id="10"/>
      <w:bookmarkEnd w:id="11"/>
    </w:p>
    <w:p w:rsidR="004B4DBC" w:rsidRDefault="00281474">
      <w:pPr>
        <w:widowControl/>
        <w:numPr>
          <w:ilvl w:val="0"/>
          <w:numId w:val="2"/>
        </w:numPr>
        <w:spacing w:after="169"/>
        <w:ind w:left="0" w:firstLine="0"/>
        <w:jc w:val="both"/>
      </w:pPr>
      <w:bookmarkStart w:id="12" w:name="__DdeLink__282_4053402140"/>
      <w:r>
        <w:rPr>
          <w:rStyle w:val="Strong"/>
          <w:rFonts w:ascii="Helvetica" w:hAnsi="Helvetica"/>
          <w:b w:val="0"/>
          <w:color w:val="000000"/>
          <w:sz w:val="22"/>
          <w:szCs w:val="22"/>
        </w:rPr>
        <w:t>SUR L’OPPORTUNITÉ DU MOMENT DE</w:t>
      </w:r>
      <w:r>
        <w:rPr>
          <w:rStyle w:val="Strong"/>
          <w:rFonts w:ascii="Helvetica" w:hAnsi="Helvetica"/>
          <w:b w:val="0"/>
          <w:color w:val="000000"/>
          <w:sz w:val="22"/>
          <w:szCs w:val="22"/>
        </w:rPr>
        <w:t xml:space="preserve"> PLANIFICATION (L’EXIGENCE D'UNE PLANIFICATION IMMÉDIATE)</w:t>
      </w:r>
    </w:p>
    <w:p w:rsidR="004B4DBC" w:rsidRDefault="00281474">
      <w:pPr>
        <w:widowControl/>
        <w:spacing w:after="283"/>
        <w:jc w:val="both"/>
      </w:pPr>
      <w:r>
        <w:rPr>
          <w:rFonts w:ascii="Helvetica" w:hAnsi="Helvetica"/>
          <w:color w:val="000000"/>
          <w:sz w:val="20"/>
          <w:szCs w:val="20"/>
        </w:rPr>
        <w:t>La Commune ne saurait renvoyer l’Opposant à la procédure future du PAC 229 en soutenan</w:t>
      </w:r>
      <w:r>
        <w:rPr>
          <w:rFonts w:ascii="Helvetica" w:hAnsi="Helvetica"/>
          <w:color w:val="000000"/>
          <w:sz w:val="20"/>
          <w:szCs w:val="20"/>
        </w:rPr>
        <w:t xml:space="preserve">t que le présent </w:t>
      </w:r>
      <w:proofErr w:type="spellStart"/>
      <w:r>
        <w:rPr>
          <w:rFonts w:ascii="Helvetica" w:hAnsi="Helvetica"/>
          <w:color w:val="000000"/>
          <w:sz w:val="20"/>
          <w:szCs w:val="20"/>
        </w:rPr>
        <w:t>PACom</w:t>
      </w:r>
      <w:proofErr w:type="spellEnd"/>
      <w:r>
        <w:rPr>
          <w:rFonts w:ascii="Helvetica" w:hAnsi="Helvetica"/>
          <w:color w:val="000000"/>
          <w:sz w:val="20"/>
          <w:szCs w:val="20"/>
        </w:rPr>
        <w:t xml:space="preserve"> ne serait pas le "bon moment" pour sceller le sort de la parcelle n° 944. Un tel raisonnement viole le principe de coordination (art. 25a LAT). L’enquête publique du </w:t>
      </w:r>
      <w:proofErr w:type="spellStart"/>
      <w:r>
        <w:rPr>
          <w:rFonts w:ascii="Helvetica" w:hAnsi="Helvetica"/>
          <w:color w:val="000000"/>
          <w:sz w:val="20"/>
          <w:szCs w:val="20"/>
        </w:rPr>
        <w:t>PACom</w:t>
      </w:r>
      <w:proofErr w:type="spellEnd"/>
      <w:r>
        <w:rPr>
          <w:rFonts w:ascii="Helvetica" w:hAnsi="Helvetica"/>
          <w:color w:val="000000"/>
          <w:sz w:val="20"/>
          <w:szCs w:val="20"/>
        </w:rPr>
        <w:t xml:space="preserve"> est </w:t>
      </w:r>
      <w:r>
        <w:rPr>
          <w:rStyle w:val="Strong"/>
          <w:rFonts w:ascii="Helvetica" w:hAnsi="Helvetica"/>
          <w:b w:val="0"/>
          <w:color w:val="000000"/>
          <w:sz w:val="20"/>
          <w:szCs w:val="20"/>
        </w:rPr>
        <w:t>le tout premier moment légal</w:t>
      </w:r>
      <w:r>
        <w:rPr>
          <w:rFonts w:ascii="Helvetica" w:hAnsi="Helvetica"/>
          <w:color w:val="000000"/>
          <w:sz w:val="20"/>
          <w:szCs w:val="20"/>
        </w:rPr>
        <w:t> où le citoyen peut contester</w:t>
      </w:r>
      <w:r>
        <w:rPr>
          <w:rFonts w:ascii="Helvetica" w:hAnsi="Helvetica"/>
          <w:color w:val="000000"/>
          <w:sz w:val="20"/>
          <w:szCs w:val="20"/>
        </w:rPr>
        <w:t xml:space="preserve"> la retranscription d’un plan directeur (le </w:t>
      </w:r>
      <w:proofErr w:type="spellStart"/>
      <w:r>
        <w:rPr>
          <w:rFonts w:ascii="Helvetica" w:hAnsi="Helvetica"/>
          <w:color w:val="000000"/>
          <w:sz w:val="20"/>
          <w:szCs w:val="20"/>
        </w:rPr>
        <w:t>PDi</w:t>
      </w:r>
      <w:proofErr w:type="spellEnd"/>
      <w:r>
        <w:rPr>
          <w:rFonts w:ascii="Helvetica" w:hAnsi="Helvetica"/>
          <w:color w:val="000000"/>
          <w:sz w:val="20"/>
          <w:szCs w:val="20"/>
        </w:rPr>
        <w:t>-OL) dans un plan d’affectation. Si l’Opposant attend la mise à l’enquête du PAC, la Commune et le Canton prétendront que le principe du dézonage et de l'exclusion a déjà été "acté" et validé lors de l'adoptio</w:t>
      </w:r>
      <w:r>
        <w:rPr>
          <w:rFonts w:ascii="Helvetica" w:hAnsi="Helvetica"/>
          <w:color w:val="000000"/>
          <w:sz w:val="20"/>
          <w:szCs w:val="20"/>
        </w:rPr>
        <w:t xml:space="preserve">n du </w:t>
      </w:r>
      <w:proofErr w:type="spellStart"/>
      <w:r>
        <w:rPr>
          <w:rFonts w:ascii="Helvetica" w:hAnsi="Helvetica"/>
          <w:color w:val="000000"/>
          <w:sz w:val="20"/>
          <w:szCs w:val="20"/>
        </w:rPr>
        <w:t>PACom</w:t>
      </w:r>
      <w:proofErr w:type="spellEnd"/>
      <w:r>
        <w:rPr>
          <w:rFonts w:ascii="Helvetica" w:hAnsi="Helvetica"/>
          <w:color w:val="000000"/>
          <w:sz w:val="20"/>
          <w:szCs w:val="20"/>
        </w:rPr>
        <w:t>, rendant toute contestation tardive. De plus, le fait que l'EPFL ait d'ores et déjà lancé son concours prouve que la menace sur l’objet de l’opposition est actuelle. Créer un vide planificateur à l'échelle communale en attendant une procédure ca</w:t>
      </w:r>
      <w:r>
        <w:rPr>
          <w:rFonts w:ascii="Helvetica" w:hAnsi="Helvetica"/>
          <w:color w:val="000000"/>
          <w:sz w:val="20"/>
          <w:szCs w:val="20"/>
        </w:rPr>
        <w:t>ntonale hypothétique et notoirement longue revient à imposer un gel des droits disproportionné à l'Opposant. C’est donc </w:t>
      </w:r>
      <w:r>
        <w:rPr>
          <w:rStyle w:val="Strong"/>
          <w:rFonts w:ascii="Helvetica" w:hAnsi="Helvetica"/>
          <w:b w:val="0"/>
          <w:color w:val="000000"/>
          <w:sz w:val="20"/>
          <w:szCs w:val="20"/>
        </w:rPr>
        <w:t>ici et maintenant</w:t>
      </w:r>
      <w:r>
        <w:rPr>
          <w:rFonts w:ascii="Helvetica" w:hAnsi="Helvetica"/>
          <w:color w:val="000000"/>
          <w:sz w:val="20"/>
          <w:szCs w:val="20"/>
        </w:rPr>
        <w:t xml:space="preserve">, dans le cadre du </w:t>
      </w:r>
      <w:proofErr w:type="spellStart"/>
      <w:r>
        <w:rPr>
          <w:rFonts w:ascii="Helvetica" w:hAnsi="Helvetica"/>
          <w:color w:val="000000"/>
          <w:sz w:val="20"/>
          <w:szCs w:val="20"/>
        </w:rPr>
        <w:t>PACom</w:t>
      </w:r>
      <w:proofErr w:type="spellEnd"/>
      <w:r>
        <w:rPr>
          <w:rFonts w:ascii="Helvetica" w:hAnsi="Helvetica"/>
          <w:color w:val="000000"/>
          <w:sz w:val="20"/>
          <w:szCs w:val="20"/>
        </w:rPr>
        <w:t>, qu’il convient de constater l'</w:t>
      </w:r>
      <w:proofErr w:type="spellStart"/>
      <w:r>
        <w:rPr>
          <w:rFonts w:ascii="Helvetica" w:hAnsi="Helvetica"/>
          <w:color w:val="000000"/>
          <w:sz w:val="20"/>
          <w:szCs w:val="20"/>
        </w:rPr>
        <w:t>irréalisabilité</w:t>
      </w:r>
      <w:proofErr w:type="spellEnd"/>
      <w:r>
        <w:rPr>
          <w:rFonts w:ascii="Helvetica" w:hAnsi="Helvetica"/>
          <w:color w:val="000000"/>
          <w:sz w:val="20"/>
          <w:szCs w:val="20"/>
        </w:rPr>
        <w:t xml:space="preserve"> du projet d'équipements collectifs et de replac</w:t>
      </w:r>
      <w:r>
        <w:rPr>
          <w:rFonts w:ascii="Helvetica" w:hAnsi="Helvetica"/>
          <w:color w:val="000000"/>
          <w:sz w:val="20"/>
          <w:szCs w:val="20"/>
        </w:rPr>
        <w:t>er la parcelle dans la zone qui lui est naturellement et légalement dévolue : la zone agricole.</w:t>
      </w:r>
      <w:bookmarkEnd w:id="12"/>
    </w:p>
    <w:p w:rsidR="004B4DBC" w:rsidRDefault="00281474">
      <w:pPr>
        <w:widowControl/>
        <w:numPr>
          <w:ilvl w:val="0"/>
          <w:numId w:val="2"/>
        </w:numPr>
        <w:spacing w:after="55"/>
        <w:ind w:left="0" w:firstLine="0"/>
        <w:jc w:val="both"/>
      </w:pPr>
      <w:r>
        <w:rPr>
          <w:rStyle w:val="Strong"/>
          <w:rFonts w:ascii="Helvetica" w:hAnsi="Helvetica"/>
          <w:b w:val="0"/>
          <w:color w:val="000000"/>
          <w:sz w:val="22"/>
          <w:szCs w:val="22"/>
        </w:rPr>
        <w:t>CONCLUSIONS</w:t>
      </w:r>
    </w:p>
    <w:p w:rsidR="004B4DBC" w:rsidRDefault="00281474">
      <w:pPr>
        <w:widowControl/>
        <w:spacing w:before="57" w:after="112"/>
        <w:jc w:val="both"/>
        <w:rPr>
          <w:rFonts w:ascii="Helvetica" w:hAnsi="Helvetica"/>
          <w:color w:val="000000"/>
          <w:sz w:val="20"/>
          <w:szCs w:val="20"/>
        </w:rPr>
      </w:pPr>
      <w:r>
        <w:rPr>
          <w:rFonts w:ascii="Helvetica" w:hAnsi="Helvetica"/>
          <w:color w:val="000000"/>
          <w:sz w:val="20"/>
          <w:szCs w:val="20"/>
        </w:rPr>
        <w:t>Par ces motifs, l’Opposant conclut à ce qu'il plaise à la Municipalité d’Ecublens, subsidiairement au Conseil communal :</w:t>
      </w:r>
    </w:p>
    <w:p w:rsidR="004B4DBC" w:rsidRDefault="00281474">
      <w:pPr>
        <w:pStyle w:val="BodyText"/>
        <w:widowControl/>
        <w:numPr>
          <w:ilvl w:val="0"/>
          <w:numId w:val="3"/>
        </w:numPr>
        <w:tabs>
          <w:tab w:val="left" w:pos="934"/>
        </w:tabs>
        <w:spacing w:after="0"/>
        <w:ind w:left="934"/>
        <w:jc w:val="both"/>
      </w:pPr>
      <w:r>
        <w:rPr>
          <w:rStyle w:val="Strong"/>
          <w:rFonts w:ascii="Helvetica" w:hAnsi="Helvetica"/>
          <w:b w:val="0"/>
          <w:color w:val="000000"/>
          <w:sz w:val="20"/>
          <w:szCs w:val="20"/>
        </w:rPr>
        <w:t xml:space="preserve"> Entrer en matière</w:t>
      </w:r>
      <w:r>
        <w:rPr>
          <w:rFonts w:ascii="Helvetica" w:hAnsi="Helvetica"/>
          <w:color w:val="000000"/>
          <w:sz w:val="20"/>
          <w:szCs w:val="20"/>
        </w:rPr>
        <w:t xml:space="preserve"> sur la </w:t>
      </w:r>
      <w:r>
        <w:rPr>
          <w:rFonts w:ascii="Helvetica" w:hAnsi="Helvetica"/>
          <w:color w:val="000000"/>
          <w:sz w:val="20"/>
          <w:szCs w:val="20"/>
        </w:rPr>
        <w:t>présente opposition et la déclarer recevable.</w:t>
      </w:r>
    </w:p>
    <w:p w:rsidR="004B4DBC" w:rsidRDefault="00281474">
      <w:pPr>
        <w:pStyle w:val="BodyText"/>
        <w:widowControl/>
        <w:numPr>
          <w:ilvl w:val="0"/>
          <w:numId w:val="3"/>
        </w:numPr>
        <w:tabs>
          <w:tab w:val="left" w:pos="934"/>
        </w:tabs>
        <w:spacing w:after="0"/>
        <w:ind w:left="934"/>
        <w:jc w:val="both"/>
      </w:pPr>
      <w:r>
        <w:rPr>
          <w:rStyle w:val="Strong"/>
          <w:rFonts w:ascii="Helvetica" w:hAnsi="Helvetica"/>
          <w:b w:val="0"/>
          <w:color w:val="000000"/>
          <w:sz w:val="20"/>
          <w:szCs w:val="20"/>
        </w:rPr>
        <w:t xml:space="preserve"> Admettre l'opposition</w:t>
      </w:r>
      <w:r>
        <w:rPr>
          <w:rFonts w:ascii="Helvetica" w:hAnsi="Helvetica"/>
          <w:color w:val="000000"/>
          <w:sz w:val="20"/>
          <w:szCs w:val="20"/>
        </w:rPr>
        <w:t> sur le fond.</w:t>
      </w:r>
    </w:p>
    <w:p w:rsidR="004B4DBC" w:rsidRDefault="00281474">
      <w:pPr>
        <w:pStyle w:val="BodyText"/>
        <w:widowControl/>
        <w:numPr>
          <w:ilvl w:val="0"/>
          <w:numId w:val="3"/>
        </w:numPr>
        <w:tabs>
          <w:tab w:val="left" w:pos="934"/>
        </w:tabs>
        <w:ind w:left="934"/>
        <w:jc w:val="both"/>
      </w:pPr>
      <w:r>
        <w:rPr>
          <w:rStyle w:val="Strong"/>
          <w:rFonts w:ascii="Helvetica" w:hAnsi="Helvetica"/>
          <w:b w:val="0"/>
          <w:color w:val="000000"/>
          <w:sz w:val="20"/>
          <w:szCs w:val="20"/>
        </w:rPr>
        <w:t xml:space="preserve"> Modifier le projet de </w:t>
      </w:r>
      <w:proofErr w:type="spellStart"/>
      <w:r>
        <w:rPr>
          <w:rStyle w:val="Strong"/>
          <w:rFonts w:ascii="Helvetica" w:hAnsi="Helvetica"/>
          <w:b w:val="0"/>
          <w:color w:val="000000"/>
          <w:sz w:val="20"/>
          <w:szCs w:val="20"/>
        </w:rPr>
        <w:t>PACom</w:t>
      </w:r>
      <w:proofErr w:type="spellEnd"/>
      <w:r>
        <w:rPr>
          <w:rFonts w:ascii="Helvetica" w:hAnsi="Helvetica"/>
          <w:color w:val="000000"/>
          <w:sz w:val="20"/>
          <w:szCs w:val="20"/>
        </w:rPr>
        <w:t> mis à l'enquête en y intégrant formellement l'entier de la parcelle n° 944 dans le périmètre du plan, et en lui attribuant une affectation de </w:t>
      </w:r>
      <w:r>
        <w:rPr>
          <w:rStyle w:val="Strong"/>
          <w:rFonts w:ascii="Helvetica" w:hAnsi="Helvetica"/>
          <w:b w:val="0"/>
          <w:color w:val="000000"/>
          <w:sz w:val="20"/>
          <w:szCs w:val="20"/>
        </w:rPr>
        <w:t>Zon</w:t>
      </w:r>
      <w:r>
        <w:rPr>
          <w:rStyle w:val="Strong"/>
          <w:rFonts w:ascii="Helvetica" w:hAnsi="Helvetica"/>
          <w:b w:val="0"/>
          <w:color w:val="000000"/>
          <w:sz w:val="20"/>
          <w:szCs w:val="20"/>
        </w:rPr>
        <w:t>e agricole</w:t>
      </w:r>
      <w:r>
        <w:rPr>
          <w:rFonts w:ascii="Helvetica" w:hAnsi="Helvetica"/>
          <w:color w:val="000000"/>
          <w:sz w:val="20"/>
          <w:szCs w:val="20"/>
        </w:rPr>
        <w:t>, conforme à son statut de SDA et à la protection Note 2 de ses bâtiments.</w:t>
      </w:r>
      <w:bookmarkStart w:id="13" w:name="__DdeLink__316_2274293704"/>
    </w:p>
    <w:p w:rsidR="004B4DBC" w:rsidRDefault="00281474">
      <w:pPr>
        <w:pStyle w:val="BodyText"/>
        <w:jc w:val="both"/>
        <w:rPr>
          <w:rFonts w:ascii="Helvetica" w:hAnsi="Helvetica"/>
          <w:color w:val="000000"/>
          <w:sz w:val="20"/>
          <w:szCs w:val="20"/>
        </w:rPr>
      </w:pPr>
      <w:bookmarkStart w:id="14" w:name="__DdeLink__265_1404875930"/>
      <w:r>
        <w:rPr>
          <w:rFonts w:ascii="Helvetica" w:hAnsi="Helvetica"/>
          <w:color w:val="000000"/>
          <w:sz w:val="20"/>
          <w:szCs w:val="20"/>
        </w:rPr>
        <w:t>Date &amp; Signature :</w:t>
      </w:r>
      <w:bookmarkEnd w:id="13"/>
      <w:bookmarkEnd w:id="14"/>
    </w:p>
    <w:sectPr w:rsidR="004B4DBC">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Calibri"/>
    <w:panose1 w:val="020F0502020204030204"/>
    <w:charset w:val="00"/>
    <w:family w:val="swiss"/>
    <w:pitch w:val="variable"/>
    <w:sig w:usb0="E10002FF" w:usb1="5000ECFF" w:usb2="00000009" w:usb3="00000000" w:csb0="0000019F" w:csb1="00000000"/>
  </w:font>
  <w:font w:name="DejaVu Sans">
    <w:panose1 w:val="020B0603030804020204"/>
    <w:charset w:val="00"/>
    <w:family w:val="swiss"/>
    <w:pitch w:val="variable"/>
    <w:sig w:usb0="E7002EFF" w:usb1="D200FDFF" w:usb2="0A246029" w:usb3="00000000" w:csb0="000001F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72886"/>
    <w:multiLevelType w:val="multilevel"/>
    <w:tmpl w:val="C86C85BC"/>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9CA6414"/>
    <w:multiLevelType w:val="multilevel"/>
    <w:tmpl w:val="644AD126"/>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718248C8"/>
    <w:multiLevelType w:val="multilevel"/>
    <w:tmpl w:val="DFAA24EE"/>
    <w:lvl w:ilvl="0">
      <w:start w:val="1"/>
      <w:numFmt w:val="decimal"/>
      <w:suff w:val="nothing"/>
      <w:lvlText w:val="%1."/>
      <w:lvlJc w:val="left"/>
      <w:pPr>
        <w:tabs>
          <w:tab w:val="num" w:pos="709"/>
        </w:tabs>
        <w:ind w:left="709"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134"/>
  <w:autoHyphenation/>
  <w:hyphenationZone w:val="0"/>
  <w:characterSpacingControl w:val="doNotCompress"/>
  <w:compat>
    <w:compatSetting w:name="compatibilityMode" w:uri="http://schemas.microsoft.com/office/word" w:val="14"/>
  </w:compat>
  <w:rsids>
    <w:rsidRoot w:val="004B4DBC"/>
    <w:rsid w:val="00281474"/>
    <w:rsid w:val="004B4DBC"/>
    <w:rsid w:val="00A104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rlito" w:eastAsia="DejaVu Sans" w:hAnsi="Carlito" w:cs="DejaVu Sans"/>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Titre"/>
    <w:next w:val="BodyText"/>
    <w:qFormat/>
    <w:pPr>
      <w:numPr>
        <w:numId w:val="1"/>
      </w:numPr>
      <w:outlineLvl w:val="0"/>
    </w:pPr>
    <w:rPr>
      <w:b/>
      <w:bCs/>
      <w:sz w:val="36"/>
      <w:szCs w:val="36"/>
    </w:rPr>
  </w:style>
  <w:style w:type="paragraph" w:styleId="Heading2">
    <w:name w:val="heading 2"/>
    <w:basedOn w:val="Titre"/>
    <w:next w:val="BodyText"/>
    <w:qFormat/>
    <w:pPr>
      <w:numPr>
        <w:ilvl w:val="1"/>
        <w:numId w:val="1"/>
      </w:numPr>
      <w:spacing w:before="200"/>
      <w:outlineLvl w:val="1"/>
    </w:pPr>
    <w:rPr>
      <w:b/>
      <w:bCs/>
      <w:sz w:val="32"/>
      <w:szCs w:val="32"/>
    </w:rPr>
  </w:style>
  <w:style w:type="paragraph" w:styleId="Heading3">
    <w:name w:val="heading 3"/>
    <w:basedOn w:val="Titre"/>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Caractresdenumrotation">
    <w:name w:val="Caractères de numérotation"/>
    <w:qFormat/>
  </w:style>
  <w:style w:type="paragraph" w:styleId="BodyText">
    <w:name w:val="Body Text"/>
    <w:basedOn w:val="Normal"/>
    <w:pPr>
      <w:spacing w:after="283" w:line="276" w:lineRule="auto"/>
    </w:pPr>
  </w:style>
  <w:style w:type="paragraph" w:customStyle="1" w:styleId="Titre">
    <w:name w:val="Titre"/>
    <w:basedOn w:val="Normal"/>
    <w:next w:val="BodyText"/>
    <w:qFormat/>
    <w:pPr>
      <w:keepNext/>
      <w:spacing w:before="240" w:after="120"/>
    </w:pPr>
    <w:rPr>
      <w:rFonts w:eastAsia="Noto Sans SC Regular" w:cs="Noto San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rlito" w:eastAsia="DejaVu Sans" w:hAnsi="Carlito" w:cs="DejaVu Sans"/>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Titre"/>
    <w:next w:val="BodyText"/>
    <w:qFormat/>
    <w:pPr>
      <w:numPr>
        <w:numId w:val="1"/>
      </w:numPr>
      <w:outlineLvl w:val="0"/>
    </w:pPr>
    <w:rPr>
      <w:b/>
      <w:bCs/>
      <w:sz w:val="36"/>
      <w:szCs w:val="36"/>
    </w:rPr>
  </w:style>
  <w:style w:type="paragraph" w:styleId="Heading2">
    <w:name w:val="heading 2"/>
    <w:basedOn w:val="Titre"/>
    <w:next w:val="BodyText"/>
    <w:qFormat/>
    <w:pPr>
      <w:numPr>
        <w:ilvl w:val="1"/>
        <w:numId w:val="1"/>
      </w:numPr>
      <w:spacing w:before="200"/>
      <w:outlineLvl w:val="1"/>
    </w:pPr>
    <w:rPr>
      <w:b/>
      <w:bCs/>
      <w:sz w:val="32"/>
      <w:szCs w:val="32"/>
    </w:rPr>
  </w:style>
  <w:style w:type="paragraph" w:styleId="Heading3">
    <w:name w:val="heading 3"/>
    <w:basedOn w:val="Titre"/>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Caractresdenumrotation">
    <w:name w:val="Caractères de numérotation"/>
    <w:qFormat/>
  </w:style>
  <w:style w:type="paragraph" w:styleId="BodyText">
    <w:name w:val="Body Text"/>
    <w:basedOn w:val="Normal"/>
    <w:pPr>
      <w:spacing w:after="283" w:line="276" w:lineRule="auto"/>
    </w:pPr>
  </w:style>
  <w:style w:type="paragraph" w:customStyle="1" w:styleId="Titre">
    <w:name w:val="Titre"/>
    <w:basedOn w:val="Normal"/>
    <w:next w:val="BodyText"/>
    <w:qFormat/>
    <w:pPr>
      <w:keepNext/>
      <w:spacing w:before="240" w:after="120"/>
    </w:pPr>
    <w:rPr>
      <w:rFonts w:eastAsia="Noto Sans SC Regular" w:cs="Noto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1161</Words>
  <Characters>6390</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Tom</cp:lastModifiedBy>
  <cp:revision>16</cp:revision>
  <dcterms:created xsi:type="dcterms:W3CDTF">2026-05-27T08:23:00Z</dcterms:created>
  <dcterms:modified xsi:type="dcterms:W3CDTF">2026-06-11T17:53:00Z</dcterms:modified>
  <dc:language>fr-FR</dc:language>
</cp:coreProperties>
</file>